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BD82" w14:textId="77777777" w:rsidR="00710731" w:rsidRPr="008D43BB" w:rsidRDefault="00710731" w:rsidP="007B2535">
      <w:pPr>
        <w:spacing w:after="0" w:line="360" w:lineRule="auto"/>
        <w:jc w:val="center"/>
        <w:rPr>
          <w:rFonts w:ascii="Verdana" w:hAnsi="Verdana" w:cs="Arial"/>
          <w:sz w:val="20"/>
          <w:szCs w:val="20"/>
          <w:lang w:val="en-GB" w:bidi="en-US"/>
        </w:rPr>
      </w:pPr>
    </w:p>
    <w:p w14:paraId="47380B28" w14:textId="54C52561" w:rsidR="007B2535" w:rsidRPr="00C507E2" w:rsidRDefault="0019159F" w:rsidP="007B2535">
      <w:pPr>
        <w:spacing w:after="0" w:line="360" w:lineRule="auto"/>
        <w:jc w:val="center"/>
        <w:rPr>
          <w:rFonts w:ascii="Verdana" w:hAnsi="Verdana" w:cs="Arial"/>
          <w:sz w:val="20"/>
          <w:szCs w:val="20"/>
          <w:lang w:val="en-GB" w:bidi="en-US"/>
        </w:rPr>
      </w:pPr>
      <w:r w:rsidRPr="00C507E2">
        <w:rPr>
          <w:rFonts w:ascii="Verdana" w:hAnsi="Verdana" w:cs="Arial"/>
          <w:sz w:val="20"/>
          <w:szCs w:val="20"/>
          <w:lang w:val="en-GB" w:bidi="en-US"/>
        </w:rPr>
        <w:t>Resolution No.</w:t>
      </w:r>
      <w:r w:rsidR="007B2535" w:rsidRPr="00C507E2">
        <w:rPr>
          <w:rFonts w:ascii="Verdana" w:hAnsi="Verdana" w:cs="Arial"/>
          <w:sz w:val="20"/>
          <w:szCs w:val="20"/>
          <w:lang w:val="en-GB" w:bidi="en-US"/>
        </w:rPr>
        <w:t xml:space="preserve"> </w:t>
      </w:r>
      <w:r w:rsidR="00D4343F" w:rsidRPr="00C507E2">
        <w:rPr>
          <w:rFonts w:ascii="Verdana" w:hAnsi="Verdana" w:cs="Arial"/>
          <w:sz w:val="20"/>
          <w:szCs w:val="20"/>
          <w:lang w:val="en-GB" w:bidi="en-US"/>
        </w:rPr>
        <w:t>643</w:t>
      </w:r>
      <w:r w:rsidR="007B2535" w:rsidRPr="00C507E2">
        <w:rPr>
          <w:rFonts w:ascii="Verdana" w:hAnsi="Verdana" w:cs="Arial"/>
          <w:sz w:val="20"/>
          <w:szCs w:val="20"/>
          <w:lang w:val="en-GB" w:bidi="en-US"/>
        </w:rPr>
        <w:t>/2020</w:t>
      </w:r>
    </w:p>
    <w:p w14:paraId="4C10DB1E" w14:textId="7AA056D5" w:rsidR="007B2535" w:rsidRPr="00C507E2" w:rsidRDefault="0019159F" w:rsidP="007B2535">
      <w:pPr>
        <w:spacing w:after="0" w:line="360" w:lineRule="auto"/>
        <w:jc w:val="center"/>
        <w:rPr>
          <w:rFonts w:ascii="Verdana" w:hAnsi="Verdana" w:cs="Arial"/>
          <w:sz w:val="20"/>
          <w:szCs w:val="20"/>
          <w:lang w:val="en-GB" w:bidi="en-US"/>
        </w:rPr>
      </w:pPr>
      <w:r w:rsidRPr="00C507E2">
        <w:rPr>
          <w:rFonts w:ascii="Verdana" w:hAnsi="Verdana" w:cs="Arial"/>
          <w:sz w:val="20"/>
          <w:szCs w:val="20"/>
          <w:lang w:val="en-GB" w:bidi="en-US"/>
        </w:rPr>
        <w:t>of the Warsaw Stock Exchange Management Board</w:t>
      </w:r>
    </w:p>
    <w:p w14:paraId="3DB2EE2F" w14:textId="776394BE" w:rsidR="007B2535" w:rsidRPr="00C507E2" w:rsidRDefault="0019159F" w:rsidP="007B2535">
      <w:pPr>
        <w:spacing w:after="120" w:line="360" w:lineRule="auto"/>
        <w:jc w:val="center"/>
        <w:rPr>
          <w:rFonts w:ascii="Verdana" w:hAnsi="Verdana" w:cs="Arial"/>
          <w:sz w:val="20"/>
          <w:szCs w:val="20"/>
          <w:lang w:val="en-GB" w:bidi="en-US"/>
        </w:rPr>
      </w:pPr>
      <w:r w:rsidRPr="00C507E2">
        <w:rPr>
          <w:rFonts w:ascii="Verdana" w:hAnsi="Verdana" w:cs="Arial"/>
          <w:sz w:val="20"/>
          <w:szCs w:val="20"/>
          <w:lang w:val="en-GB" w:bidi="en-US"/>
        </w:rPr>
        <w:t xml:space="preserve">dated </w:t>
      </w:r>
      <w:r w:rsidR="00D4343F" w:rsidRPr="00C507E2">
        <w:rPr>
          <w:rFonts w:ascii="Verdana" w:hAnsi="Verdana" w:cs="Arial"/>
          <w:sz w:val="20"/>
          <w:szCs w:val="20"/>
          <w:lang w:val="en-GB" w:bidi="en-US"/>
        </w:rPr>
        <w:t>27</w:t>
      </w:r>
      <w:r w:rsidR="00566C2D" w:rsidRPr="00C507E2">
        <w:rPr>
          <w:rFonts w:ascii="Verdana" w:hAnsi="Verdana" w:cs="Arial"/>
          <w:sz w:val="20"/>
          <w:szCs w:val="20"/>
          <w:lang w:val="en-GB" w:bidi="en-US"/>
        </w:rPr>
        <w:t xml:space="preserve"> </w:t>
      </w:r>
      <w:r w:rsidRPr="00C507E2">
        <w:rPr>
          <w:rFonts w:ascii="Verdana" w:hAnsi="Verdana" w:cs="Arial"/>
          <w:sz w:val="20"/>
          <w:szCs w:val="20"/>
          <w:lang w:val="en-GB" w:bidi="en-US"/>
        </w:rPr>
        <w:t>August</w:t>
      </w:r>
      <w:r w:rsidR="00566C2D" w:rsidRPr="00C507E2">
        <w:rPr>
          <w:rFonts w:ascii="Verdana" w:hAnsi="Verdana" w:cs="Arial"/>
          <w:sz w:val="20"/>
          <w:szCs w:val="20"/>
          <w:lang w:val="en-GB" w:bidi="en-US"/>
        </w:rPr>
        <w:t xml:space="preserve"> 202</w:t>
      </w:r>
      <w:r w:rsidR="007B2535" w:rsidRPr="00C507E2">
        <w:rPr>
          <w:rFonts w:ascii="Verdana" w:hAnsi="Verdana" w:cs="Arial"/>
          <w:sz w:val="20"/>
          <w:szCs w:val="20"/>
          <w:lang w:val="en-GB" w:bidi="en-US"/>
        </w:rPr>
        <w:t xml:space="preserve">0 </w:t>
      </w:r>
      <w:r w:rsidR="003F0524" w:rsidRPr="00C507E2">
        <w:rPr>
          <w:rFonts w:ascii="Verdana" w:hAnsi="Verdana" w:cs="Arial"/>
          <w:b/>
          <w:bCs/>
          <w:sz w:val="20"/>
          <w:szCs w:val="20"/>
          <w:lang w:val="en-US"/>
        </w:rPr>
        <w:t>(as amended)</w:t>
      </w:r>
    </w:p>
    <w:p w14:paraId="14684437" w14:textId="2F190955" w:rsidR="007B2535" w:rsidRPr="00C507E2" w:rsidRDefault="0019159F" w:rsidP="007B2535">
      <w:pPr>
        <w:spacing w:after="0" w:line="360" w:lineRule="auto"/>
        <w:jc w:val="center"/>
        <w:rPr>
          <w:rFonts w:ascii="Verdana" w:hAnsi="Verdana" w:cs="Arial"/>
          <w:sz w:val="20"/>
          <w:szCs w:val="20"/>
          <w:lang w:val="en-GB" w:bidi="en-US"/>
        </w:rPr>
      </w:pPr>
      <w:r w:rsidRPr="00C507E2">
        <w:rPr>
          <w:rFonts w:ascii="Verdana" w:hAnsi="Verdana" w:cs="Arial"/>
          <w:sz w:val="20"/>
          <w:szCs w:val="20"/>
          <w:lang w:val="en-GB" w:bidi="en-US"/>
        </w:rPr>
        <w:t>concerning reduction of certain exchange fees</w:t>
      </w:r>
    </w:p>
    <w:p w14:paraId="7F0D9BDD" w14:textId="6E341732" w:rsidR="007B2535" w:rsidRPr="00C507E2" w:rsidRDefault="0019159F" w:rsidP="00B24D84">
      <w:pPr>
        <w:spacing w:after="240" w:line="360" w:lineRule="auto"/>
        <w:jc w:val="center"/>
        <w:rPr>
          <w:rFonts w:ascii="Verdana" w:hAnsi="Verdana" w:cs="Arial"/>
          <w:sz w:val="20"/>
          <w:szCs w:val="20"/>
          <w:lang w:val="en-GB" w:bidi="en-US"/>
        </w:rPr>
      </w:pPr>
      <w:r w:rsidRPr="00C507E2">
        <w:rPr>
          <w:rFonts w:ascii="Verdana" w:hAnsi="Verdana" w:cs="Arial"/>
          <w:sz w:val="20"/>
          <w:szCs w:val="20"/>
          <w:lang w:val="en-GB" w:bidi="en-US"/>
        </w:rPr>
        <w:t>cha</w:t>
      </w:r>
      <w:r w:rsidR="00D47570" w:rsidRPr="00C507E2">
        <w:rPr>
          <w:rFonts w:ascii="Verdana" w:hAnsi="Verdana" w:cs="Arial"/>
          <w:sz w:val="20"/>
          <w:szCs w:val="20"/>
          <w:lang w:val="en-GB" w:bidi="en-US"/>
        </w:rPr>
        <w:t>r</w:t>
      </w:r>
      <w:r w:rsidRPr="00C507E2">
        <w:rPr>
          <w:rFonts w:ascii="Verdana" w:hAnsi="Verdana" w:cs="Arial"/>
          <w:sz w:val="20"/>
          <w:szCs w:val="20"/>
          <w:lang w:val="en-GB" w:bidi="en-US"/>
        </w:rPr>
        <w:t>ged on the</w:t>
      </w:r>
      <w:r w:rsidR="007B2535" w:rsidRPr="00C507E2">
        <w:rPr>
          <w:rFonts w:ascii="Verdana" w:hAnsi="Verdana" w:cs="Arial"/>
          <w:sz w:val="20"/>
          <w:szCs w:val="20"/>
          <w:lang w:val="en-GB" w:bidi="en-US"/>
        </w:rPr>
        <w:t xml:space="preserve"> GPW</w:t>
      </w:r>
      <w:r w:rsidRPr="00C507E2">
        <w:rPr>
          <w:rFonts w:ascii="Verdana" w:hAnsi="Verdana" w:cs="Arial"/>
          <w:sz w:val="20"/>
          <w:szCs w:val="20"/>
          <w:lang w:val="en-GB" w:bidi="en-US"/>
        </w:rPr>
        <w:t xml:space="preserve"> Main Market</w:t>
      </w:r>
    </w:p>
    <w:p w14:paraId="12901955" w14:textId="7C71E1D0" w:rsidR="00710731" w:rsidRPr="00C507E2" w:rsidRDefault="003F0524" w:rsidP="00B24D84">
      <w:pPr>
        <w:spacing w:after="240" w:line="360" w:lineRule="auto"/>
        <w:jc w:val="center"/>
        <w:rPr>
          <w:rFonts w:ascii="Verdana" w:hAnsi="Verdana" w:cs="Arial"/>
          <w:b/>
          <w:bCs/>
          <w:sz w:val="20"/>
          <w:szCs w:val="20"/>
          <w:lang w:val="en-US"/>
        </w:rPr>
      </w:pPr>
      <w:r w:rsidRPr="00C507E2">
        <w:rPr>
          <w:rFonts w:ascii="Verdana" w:hAnsi="Verdana" w:cs="Arial"/>
          <w:b/>
          <w:bCs/>
          <w:sz w:val="20"/>
          <w:szCs w:val="20"/>
          <w:lang w:val="en-US"/>
        </w:rPr>
        <w:t xml:space="preserve">(text according to legal condition at </w:t>
      </w:r>
      <w:bookmarkStart w:id="0" w:name="_Hlk176969925"/>
      <w:r w:rsidR="00035319" w:rsidRPr="00C507E2">
        <w:rPr>
          <w:rFonts w:ascii="Verdana" w:hAnsi="Verdana" w:cs="Arial"/>
          <w:b/>
          <w:sz w:val="20"/>
          <w:szCs w:val="20"/>
          <w:lang w:val="en-US"/>
        </w:rPr>
        <w:t>1 November 2025</w:t>
      </w:r>
      <w:bookmarkEnd w:id="0"/>
      <w:r w:rsidRPr="00C507E2">
        <w:rPr>
          <w:rFonts w:ascii="Verdana" w:hAnsi="Verdana" w:cs="Arial"/>
          <w:b/>
          <w:bCs/>
          <w:sz w:val="20"/>
          <w:szCs w:val="20"/>
          <w:lang w:val="en-US"/>
        </w:rPr>
        <w:t>)</w:t>
      </w:r>
    </w:p>
    <w:p w14:paraId="4916EE29" w14:textId="77777777" w:rsidR="00B24D84" w:rsidRPr="00C507E2" w:rsidRDefault="00B24D84" w:rsidP="00B24D84">
      <w:pPr>
        <w:spacing w:after="480" w:line="360" w:lineRule="auto"/>
        <w:jc w:val="both"/>
        <w:outlineLvl w:val="0"/>
        <w:rPr>
          <w:rFonts w:ascii="Verdana" w:hAnsi="Verdana"/>
          <w:b/>
          <w:bCs/>
          <w:sz w:val="16"/>
          <w:szCs w:val="16"/>
          <w:lang w:val="en-GB"/>
        </w:rPr>
      </w:pPr>
      <w:r w:rsidRPr="00C507E2">
        <w:rPr>
          <w:rFonts w:ascii="Verdana" w:hAnsi="Verdana" w:cs="Arial"/>
          <w:b/>
          <w:bCs/>
          <w:i/>
          <w:snapToGrid w:val="0"/>
          <w:color w:val="FF0000"/>
          <w:sz w:val="16"/>
          <w:szCs w:val="16"/>
          <w:lang w:val="en-GB"/>
        </w:rPr>
        <w:t>NOTE: Only the Polish version of this document is legally binding. This translation is provided for information only. Every effort has been made to ensure the accuracy of this publication. However, the WSE does not assume any responsibility for any errors or omissions.</w:t>
      </w:r>
    </w:p>
    <w:p w14:paraId="30812132" w14:textId="287910C2" w:rsidR="0019159F" w:rsidRPr="00C507E2" w:rsidRDefault="0019159F" w:rsidP="00B24D84">
      <w:pPr>
        <w:spacing w:after="240" w:line="360" w:lineRule="auto"/>
        <w:jc w:val="both"/>
        <w:rPr>
          <w:rFonts w:ascii="Verdana" w:hAnsi="Verdana" w:cs="Arial"/>
          <w:sz w:val="20"/>
          <w:szCs w:val="20"/>
          <w:lang w:val="en-GB" w:bidi="en-US"/>
        </w:rPr>
      </w:pPr>
      <w:r w:rsidRPr="00C507E2">
        <w:rPr>
          <w:rFonts w:ascii="Verdana" w:hAnsi="Verdana" w:cs="Arial"/>
          <w:sz w:val="20"/>
          <w:szCs w:val="20"/>
          <w:lang w:val="en-GB" w:bidi="en-US"/>
        </w:rPr>
        <w:t>Pursuant to § 178 of the Exchange Rules, the Exchange Management Board resolves as follows:</w:t>
      </w:r>
    </w:p>
    <w:p w14:paraId="454B9AC4" w14:textId="77777777" w:rsidR="007B2535" w:rsidRPr="00C507E2" w:rsidRDefault="007B2535" w:rsidP="007B2535">
      <w:pPr>
        <w:spacing w:after="120" w:line="360" w:lineRule="auto"/>
        <w:jc w:val="center"/>
        <w:rPr>
          <w:rFonts w:ascii="Verdana" w:hAnsi="Verdana" w:cs="Arial"/>
          <w:sz w:val="20"/>
          <w:szCs w:val="20"/>
          <w:lang w:val="en-GB" w:bidi="en-US"/>
        </w:rPr>
      </w:pPr>
      <w:r w:rsidRPr="00C507E2">
        <w:rPr>
          <w:rFonts w:ascii="Verdana" w:hAnsi="Verdana" w:cs="Arial"/>
          <w:sz w:val="20"/>
          <w:szCs w:val="20"/>
          <w:lang w:val="en-GB" w:bidi="en-US"/>
        </w:rPr>
        <w:t>§ 1</w:t>
      </w:r>
    </w:p>
    <w:p w14:paraId="4B8F0371" w14:textId="5C7BD8D5" w:rsidR="0019159F" w:rsidRPr="00C507E2" w:rsidRDefault="0019159F" w:rsidP="007B2535">
      <w:pPr>
        <w:numPr>
          <w:ilvl w:val="0"/>
          <w:numId w:val="16"/>
        </w:numPr>
        <w:spacing w:after="120" w:line="360" w:lineRule="auto"/>
        <w:ind w:left="284" w:hanging="284"/>
        <w:jc w:val="both"/>
        <w:rPr>
          <w:rFonts w:ascii="Verdana" w:hAnsi="Verdana" w:cs="Consolas"/>
          <w:sz w:val="20"/>
          <w:szCs w:val="20"/>
          <w:lang w:val="en-GB" w:eastAsia="pl-PL"/>
        </w:rPr>
      </w:pPr>
      <w:r w:rsidRPr="00C507E2">
        <w:rPr>
          <w:rFonts w:ascii="Verdana" w:hAnsi="Verdana" w:cs="Consolas"/>
          <w:sz w:val="20"/>
          <w:szCs w:val="20"/>
          <w:lang w:val="en-GB" w:eastAsia="pl-PL"/>
        </w:rPr>
        <w:t xml:space="preserve">Subject to § 2, the fees referred to in point 3.1.1 of </w:t>
      </w:r>
      <w:r w:rsidR="00E13158" w:rsidRPr="00C507E2">
        <w:rPr>
          <w:rFonts w:ascii="Verdana" w:hAnsi="Verdana" w:cs="Consolas"/>
          <w:sz w:val="20"/>
          <w:szCs w:val="20"/>
          <w:lang w:val="en-GB" w:eastAsia="pl-PL"/>
        </w:rPr>
        <w:t xml:space="preserve">Exhibit No. 1 to the Exchange Rules for the execution of broker’s orders submitted on behalf </w:t>
      </w:r>
      <w:r w:rsidR="00112C41" w:rsidRPr="00C507E2">
        <w:rPr>
          <w:rFonts w:ascii="Verdana" w:hAnsi="Verdana" w:cs="Consolas"/>
          <w:sz w:val="20"/>
          <w:szCs w:val="20"/>
          <w:lang w:val="en-GB" w:eastAsia="pl-PL"/>
        </w:rPr>
        <w:t xml:space="preserve">of </w:t>
      </w:r>
      <w:r w:rsidR="00E13158" w:rsidRPr="00C507E2">
        <w:rPr>
          <w:rFonts w:ascii="Verdana" w:hAnsi="Verdana" w:cs="Consolas"/>
          <w:sz w:val="20"/>
          <w:szCs w:val="20"/>
          <w:lang w:val="en-GB" w:eastAsia="pl-PL"/>
        </w:rPr>
        <w:t xml:space="preserve">and </w:t>
      </w:r>
      <w:r w:rsidR="00112C41" w:rsidRPr="00C507E2">
        <w:rPr>
          <w:rFonts w:ascii="Verdana" w:hAnsi="Verdana" w:cs="Consolas"/>
          <w:sz w:val="20"/>
          <w:szCs w:val="20"/>
          <w:lang w:val="en-GB" w:eastAsia="pl-PL"/>
        </w:rPr>
        <w:t>on</w:t>
      </w:r>
      <w:r w:rsidR="00E13158" w:rsidRPr="00C507E2">
        <w:rPr>
          <w:rFonts w:ascii="Verdana" w:hAnsi="Verdana" w:cs="Consolas"/>
          <w:sz w:val="20"/>
          <w:szCs w:val="20"/>
          <w:lang w:val="en-GB" w:eastAsia="pl-PL"/>
        </w:rPr>
        <w:t xml:space="preserve"> the account of a</w:t>
      </w:r>
      <w:r w:rsidR="00AC3F16" w:rsidRPr="00C507E2">
        <w:rPr>
          <w:rFonts w:ascii="Verdana" w:hAnsi="Verdana" w:cs="Consolas"/>
          <w:sz w:val="20"/>
          <w:szCs w:val="20"/>
          <w:lang w:val="en-GB" w:eastAsia="pl-PL"/>
        </w:rPr>
        <w:t xml:space="preserve"> given</w:t>
      </w:r>
      <w:r w:rsidR="00E13158" w:rsidRPr="00C507E2">
        <w:rPr>
          <w:rFonts w:ascii="Verdana" w:hAnsi="Verdana" w:cs="Consolas"/>
          <w:sz w:val="20"/>
          <w:szCs w:val="20"/>
          <w:lang w:val="en-GB" w:eastAsia="pl-PL"/>
        </w:rPr>
        <w:t xml:space="preserve"> exchange member </w:t>
      </w:r>
      <w:r w:rsidR="00E41AB3" w:rsidRPr="00C507E2">
        <w:rPr>
          <w:rFonts w:ascii="Verdana" w:hAnsi="Verdana" w:cs="Consolas"/>
          <w:sz w:val="20"/>
          <w:szCs w:val="20"/>
          <w:lang w:val="en-GB" w:eastAsia="pl-PL"/>
        </w:rPr>
        <w:t xml:space="preserve">in the execution of cross </w:t>
      </w:r>
      <w:r w:rsidR="00112C41" w:rsidRPr="00C507E2">
        <w:rPr>
          <w:rFonts w:ascii="Verdana" w:hAnsi="Verdana" w:cs="Consolas"/>
          <w:sz w:val="20"/>
          <w:szCs w:val="20"/>
          <w:lang w:val="en-GB" w:eastAsia="pl-PL"/>
        </w:rPr>
        <w:t xml:space="preserve">transactions referred to in § 36(1)(b) of Division </w:t>
      </w:r>
      <w:r w:rsidR="00A653F5" w:rsidRPr="00C507E2">
        <w:rPr>
          <w:rFonts w:ascii="Verdana" w:hAnsi="Verdana" w:cs="Consolas"/>
          <w:sz w:val="20"/>
          <w:szCs w:val="20"/>
          <w:lang w:val="en-GB" w:eastAsia="pl-PL"/>
        </w:rPr>
        <w:t xml:space="preserve">4 of the Detailed Exchange Trading </w:t>
      </w:r>
      <w:r w:rsidR="00D4173B" w:rsidRPr="00C507E2">
        <w:rPr>
          <w:rFonts w:ascii="Verdana" w:hAnsi="Verdana" w:cs="Consolas"/>
          <w:sz w:val="20"/>
          <w:szCs w:val="20"/>
          <w:lang w:val="en-GB" w:eastAsia="pl-PL"/>
        </w:rPr>
        <w:t xml:space="preserve">Rules </w:t>
      </w:r>
      <w:r w:rsidR="00A653F5" w:rsidRPr="00C507E2">
        <w:rPr>
          <w:rFonts w:ascii="Verdana" w:hAnsi="Verdana" w:cs="Consolas"/>
          <w:sz w:val="20"/>
          <w:szCs w:val="20"/>
          <w:lang w:val="en-GB" w:eastAsia="pl-PL"/>
        </w:rPr>
        <w:t>in UTP System, shall be reduced to 0.</w:t>
      </w:r>
    </w:p>
    <w:p w14:paraId="5B4ABB63" w14:textId="57C92B49" w:rsidR="00A653F5" w:rsidRPr="00C507E2" w:rsidRDefault="00A653F5" w:rsidP="00E77FC4">
      <w:pPr>
        <w:numPr>
          <w:ilvl w:val="0"/>
          <w:numId w:val="16"/>
        </w:numPr>
        <w:spacing w:after="240" w:line="360" w:lineRule="auto"/>
        <w:ind w:left="284" w:hanging="284"/>
        <w:jc w:val="both"/>
        <w:rPr>
          <w:rFonts w:ascii="Verdana" w:hAnsi="Verdana" w:cs="Consolas"/>
          <w:sz w:val="20"/>
          <w:szCs w:val="20"/>
          <w:lang w:val="en-GB" w:eastAsia="pl-PL"/>
        </w:rPr>
      </w:pPr>
      <w:r w:rsidRPr="00C507E2">
        <w:rPr>
          <w:rFonts w:ascii="Verdana" w:hAnsi="Verdana" w:cs="Consolas"/>
          <w:sz w:val="20"/>
          <w:szCs w:val="20"/>
          <w:lang w:val="en-GB" w:eastAsia="pl-PL"/>
        </w:rPr>
        <w:t xml:space="preserve">Subject to § 2, the fees referred to in point 3.1.1 of Exhibit No. 1 to the Exchange Rules for the execution of broker’s orders submitted on behalf of and on the account of </w:t>
      </w:r>
      <w:r w:rsidR="007F3012" w:rsidRPr="00C507E2">
        <w:rPr>
          <w:rFonts w:ascii="Verdana" w:hAnsi="Verdana" w:cs="Consolas"/>
          <w:sz w:val="20"/>
          <w:szCs w:val="20"/>
          <w:lang w:val="en-GB" w:eastAsia="pl-PL"/>
        </w:rPr>
        <w:t xml:space="preserve">a client of </w:t>
      </w:r>
      <w:r w:rsidRPr="00C507E2">
        <w:rPr>
          <w:rFonts w:ascii="Verdana" w:hAnsi="Verdana" w:cs="Consolas"/>
          <w:sz w:val="20"/>
          <w:szCs w:val="20"/>
          <w:lang w:val="en-GB" w:eastAsia="pl-PL"/>
        </w:rPr>
        <w:t>a</w:t>
      </w:r>
      <w:r w:rsidR="00AC3F16" w:rsidRPr="00C507E2">
        <w:rPr>
          <w:rFonts w:ascii="Verdana" w:hAnsi="Verdana" w:cs="Consolas"/>
          <w:sz w:val="20"/>
          <w:szCs w:val="20"/>
          <w:lang w:val="en-GB" w:eastAsia="pl-PL"/>
        </w:rPr>
        <w:t xml:space="preserve"> given</w:t>
      </w:r>
      <w:r w:rsidRPr="00C507E2">
        <w:rPr>
          <w:rFonts w:ascii="Verdana" w:hAnsi="Verdana" w:cs="Consolas"/>
          <w:sz w:val="20"/>
          <w:szCs w:val="20"/>
          <w:lang w:val="en-GB" w:eastAsia="pl-PL"/>
        </w:rPr>
        <w:t xml:space="preserve"> exchange member in the execution of cross transactions referred to in § 36(1)(b) of Division 4 of the Detailed Exchange Trading </w:t>
      </w:r>
      <w:r w:rsidR="00D4173B" w:rsidRPr="00C507E2">
        <w:rPr>
          <w:rFonts w:ascii="Verdana" w:hAnsi="Verdana" w:cs="Consolas"/>
          <w:sz w:val="20"/>
          <w:szCs w:val="20"/>
          <w:lang w:val="en-GB" w:eastAsia="pl-PL"/>
        </w:rPr>
        <w:t xml:space="preserve">Rules </w:t>
      </w:r>
      <w:r w:rsidRPr="00C507E2">
        <w:rPr>
          <w:rFonts w:ascii="Verdana" w:hAnsi="Verdana" w:cs="Consolas"/>
          <w:sz w:val="20"/>
          <w:szCs w:val="20"/>
          <w:lang w:val="en-GB" w:eastAsia="pl-PL"/>
        </w:rPr>
        <w:t>in UTP System, shall be reduced by 20%.</w:t>
      </w:r>
    </w:p>
    <w:p w14:paraId="4CEA8AA6" w14:textId="66D7B83E" w:rsidR="007B2535" w:rsidRPr="00C507E2" w:rsidRDefault="007B2535" w:rsidP="003D60F8">
      <w:pPr>
        <w:spacing w:after="120" w:line="360" w:lineRule="auto"/>
        <w:jc w:val="center"/>
        <w:rPr>
          <w:rFonts w:ascii="Verdana" w:hAnsi="Verdana" w:cs="Arial"/>
          <w:sz w:val="20"/>
          <w:szCs w:val="20"/>
          <w:lang w:val="en-GB" w:bidi="en-US"/>
        </w:rPr>
      </w:pPr>
      <w:r w:rsidRPr="00C507E2">
        <w:rPr>
          <w:rFonts w:ascii="Verdana" w:hAnsi="Verdana" w:cs="Arial"/>
          <w:sz w:val="20"/>
          <w:szCs w:val="20"/>
          <w:lang w:val="en-GB" w:bidi="en-US"/>
        </w:rPr>
        <w:t xml:space="preserve">§ </w:t>
      </w:r>
      <w:r w:rsidR="00A14B39" w:rsidRPr="00C507E2">
        <w:rPr>
          <w:rFonts w:ascii="Verdana" w:hAnsi="Verdana" w:cs="Arial"/>
          <w:sz w:val="20"/>
          <w:szCs w:val="20"/>
          <w:lang w:val="en-GB" w:bidi="en-US"/>
        </w:rPr>
        <w:t>2</w:t>
      </w:r>
    </w:p>
    <w:p w14:paraId="362642B9" w14:textId="1482AB62" w:rsidR="00A653F5" w:rsidRPr="00C507E2" w:rsidRDefault="00A653F5" w:rsidP="00133C43">
      <w:pPr>
        <w:spacing w:after="120" w:line="360" w:lineRule="auto"/>
        <w:jc w:val="both"/>
        <w:rPr>
          <w:rFonts w:ascii="Verdana" w:hAnsi="Verdana" w:cs="Arial"/>
          <w:sz w:val="20"/>
          <w:szCs w:val="20"/>
          <w:lang w:val="en-GB" w:bidi="en-US"/>
        </w:rPr>
      </w:pPr>
      <w:r w:rsidRPr="00C507E2">
        <w:rPr>
          <w:rFonts w:ascii="Verdana" w:hAnsi="Verdana" w:cs="Arial"/>
          <w:sz w:val="20"/>
          <w:szCs w:val="20"/>
          <w:lang w:val="en-GB" w:bidi="en-US"/>
        </w:rPr>
        <w:t xml:space="preserve">The reduced fees referred to in § 1 shall apply to cross transactions referred to in </w:t>
      </w:r>
      <w:r w:rsidR="00D4173B" w:rsidRPr="00C507E2">
        <w:rPr>
          <w:rFonts w:ascii="Verdana" w:hAnsi="Verdana" w:cs="Arial"/>
          <w:sz w:val="20"/>
          <w:szCs w:val="20"/>
          <w:lang w:val="en-GB" w:bidi="en-US"/>
        </w:rPr>
        <w:br/>
      </w:r>
      <w:r w:rsidRPr="00C507E2">
        <w:rPr>
          <w:rFonts w:ascii="Verdana" w:hAnsi="Verdana" w:cs="Arial"/>
          <w:sz w:val="20"/>
          <w:szCs w:val="20"/>
          <w:lang w:val="en-GB" w:bidi="en-US"/>
        </w:rPr>
        <w:t>§ 1 executed by exchange members who meet, as at the last trading day of the calendar month for which the fee is charged, all of the following criteria:</w:t>
      </w:r>
    </w:p>
    <w:p w14:paraId="122525F2" w14:textId="5B8E6A1B" w:rsidR="00A653F5" w:rsidRPr="00C507E2" w:rsidRDefault="00A653F5" w:rsidP="007B0873">
      <w:pPr>
        <w:pStyle w:val="Akapitzlist"/>
        <w:numPr>
          <w:ilvl w:val="0"/>
          <w:numId w:val="18"/>
        </w:numPr>
        <w:spacing w:after="120" w:line="360" w:lineRule="auto"/>
        <w:contextualSpacing w:val="0"/>
        <w:jc w:val="both"/>
        <w:rPr>
          <w:rFonts w:ascii="Verdana" w:hAnsi="Verdana" w:cs="Consolas"/>
          <w:sz w:val="20"/>
          <w:szCs w:val="20"/>
          <w:lang w:val="en-GB" w:eastAsia="pl-PL"/>
        </w:rPr>
      </w:pPr>
      <w:r w:rsidRPr="00C507E2">
        <w:rPr>
          <w:rFonts w:ascii="Verdana" w:hAnsi="Verdana" w:cs="Arial"/>
          <w:sz w:val="20"/>
          <w:szCs w:val="20"/>
          <w:lang w:val="en-GB" w:bidi="en-US"/>
        </w:rPr>
        <w:t xml:space="preserve">they are authorised to </w:t>
      </w:r>
      <w:r w:rsidR="004466FE" w:rsidRPr="00C507E2">
        <w:rPr>
          <w:rFonts w:ascii="Verdana" w:hAnsi="Verdana" w:cs="Arial"/>
          <w:sz w:val="20"/>
          <w:szCs w:val="20"/>
          <w:lang w:val="en-GB" w:bidi="en-US"/>
        </w:rPr>
        <w:t>conduct business</w:t>
      </w:r>
      <w:r w:rsidRPr="00C507E2">
        <w:rPr>
          <w:rFonts w:ascii="Verdana" w:hAnsi="Verdana" w:cs="Arial"/>
          <w:sz w:val="20"/>
          <w:szCs w:val="20"/>
          <w:lang w:val="en-GB" w:bidi="en-US"/>
        </w:rPr>
        <w:t>, on own account and on the account of a client, in</w:t>
      </w:r>
      <w:r w:rsidR="00AC3F16" w:rsidRPr="00C507E2">
        <w:rPr>
          <w:rFonts w:ascii="Verdana" w:hAnsi="Verdana" w:cs="Arial"/>
          <w:sz w:val="20"/>
          <w:szCs w:val="20"/>
          <w:lang w:val="en-GB" w:bidi="en-US"/>
        </w:rPr>
        <w:t xml:space="preserve"> the scope of</w:t>
      </w:r>
      <w:r w:rsidRPr="00C507E2">
        <w:rPr>
          <w:rFonts w:ascii="Verdana" w:hAnsi="Verdana" w:cs="Arial"/>
          <w:sz w:val="20"/>
          <w:szCs w:val="20"/>
          <w:lang w:val="en-GB" w:bidi="en-US"/>
        </w:rPr>
        <w:t xml:space="preserve"> trading in securities and derivatives on the GPW Main Market, where the scope of the authorisation </w:t>
      </w:r>
      <w:r w:rsidR="004466FE" w:rsidRPr="00C507E2">
        <w:rPr>
          <w:rFonts w:ascii="Verdana" w:hAnsi="Verdana" w:cs="Arial"/>
          <w:sz w:val="20"/>
          <w:szCs w:val="20"/>
          <w:lang w:val="en-GB" w:bidi="en-US"/>
        </w:rPr>
        <w:t xml:space="preserve">to conduct business </w:t>
      </w:r>
      <w:r w:rsidRPr="00C507E2">
        <w:rPr>
          <w:rFonts w:ascii="Verdana" w:hAnsi="Verdana" w:cs="Arial"/>
          <w:sz w:val="20"/>
          <w:szCs w:val="20"/>
          <w:lang w:val="en-GB" w:bidi="en-US"/>
        </w:rPr>
        <w:t xml:space="preserve">shall be determined on the basis of the relevant resolution of the Exchange Management </w:t>
      </w:r>
      <w:r w:rsidRPr="00C507E2">
        <w:rPr>
          <w:rFonts w:ascii="Verdana" w:hAnsi="Verdana" w:cs="Arial"/>
          <w:sz w:val="20"/>
          <w:szCs w:val="20"/>
          <w:lang w:val="en-GB" w:bidi="en-US"/>
        </w:rPr>
        <w:lastRenderedPageBreak/>
        <w:t xml:space="preserve">Board which </w:t>
      </w:r>
      <w:r w:rsidR="003341E4" w:rsidRPr="00C507E2">
        <w:rPr>
          <w:rFonts w:ascii="Verdana" w:hAnsi="Verdana" w:cs="Arial"/>
          <w:sz w:val="20"/>
          <w:szCs w:val="20"/>
          <w:lang w:val="en-GB" w:bidi="en-US"/>
        </w:rPr>
        <w:t xml:space="preserve">specifies the date of </w:t>
      </w:r>
      <w:r w:rsidR="00B67F37" w:rsidRPr="00C507E2">
        <w:rPr>
          <w:rFonts w:ascii="Verdana" w:hAnsi="Verdana" w:cs="Arial"/>
          <w:sz w:val="20"/>
          <w:szCs w:val="20"/>
          <w:lang w:val="en-GB" w:bidi="en-US"/>
        </w:rPr>
        <w:t xml:space="preserve">the commencement of </w:t>
      </w:r>
      <w:r w:rsidR="002853E8" w:rsidRPr="00C507E2">
        <w:rPr>
          <w:rFonts w:ascii="Verdana" w:hAnsi="Verdana" w:cs="Arial"/>
          <w:sz w:val="20"/>
          <w:szCs w:val="20"/>
          <w:lang w:val="en-GB" w:bidi="en-US"/>
        </w:rPr>
        <w:t xml:space="preserve">conduct </w:t>
      </w:r>
      <w:r w:rsidR="004466FE" w:rsidRPr="00C507E2">
        <w:rPr>
          <w:rFonts w:ascii="Verdana" w:hAnsi="Verdana" w:cs="Arial"/>
          <w:sz w:val="20"/>
          <w:szCs w:val="20"/>
          <w:lang w:val="en-GB" w:bidi="en-US"/>
        </w:rPr>
        <w:t>business</w:t>
      </w:r>
      <w:r w:rsidR="003341E4" w:rsidRPr="00C507E2">
        <w:rPr>
          <w:rFonts w:ascii="Verdana" w:hAnsi="Verdana" w:cs="Arial"/>
          <w:sz w:val="20"/>
          <w:szCs w:val="20"/>
          <w:lang w:val="en-GB" w:bidi="en-US"/>
        </w:rPr>
        <w:t xml:space="preserve"> </w:t>
      </w:r>
      <w:r w:rsidR="00AC3F16" w:rsidRPr="00C507E2">
        <w:rPr>
          <w:rFonts w:ascii="Verdana" w:hAnsi="Verdana" w:cs="Arial"/>
          <w:sz w:val="20"/>
          <w:szCs w:val="20"/>
          <w:lang w:val="en-GB" w:bidi="en-US"/>
        </w:rPr>
        <w:t>with</w:t>
      </w:r>
      <w:r w:rsidR="003341E4" w:rsidRPr="00C507E2">
        <w:rPr>
          <w:rFonts w:ascii="Verdana" w:hAnsi="Verdana" w:cs="Arial"/>
          <w:sz w:val="20"/>
          <w:szCs w:val="20"/>
          <w:lang w:val="en-GB" w:bidi="en-US"/>
        </w:rPr>
        <w:t xml:space="preserve"> the relevant scope, referred to in § 70(1) of the Exchange Rules</w:t>
      </w:r>
      <w:r w:rsidR="002853E8" w:rsidRPr="00C507E2">
        <w:rPr>
          <w:rFonts w:ascii="Verdana" w:hAnsi="Verdana" w:cs="Arial"/>
          <w:sz w:val="20"/>
          <w:szCs w:val="20"/>
          <w:lang w:val="en-GB" w:bidi="en-US"/>
        </w:rPr>
        <w:t>,</w:t>
      </w:r>
      <w:r w:rsidR="003341E4" w:rsidRPr="00C507E2">
        <w:rPr>
          <w:rFonts w:ascii="Verdana" w:hAnsi="Verdana" w:cs="Arial"/>
          <w:sz w:val="20"/>
          <w:szCs w:val="20"/>
          <w:lang w:val="en-GB" w:bidi="en-US"/>
        </w:rPr>
        <w:t xml:space="preserve"> and</w:t>
      </w:r>
    </w:p>
    <w:p w14:paraId="0A5C72D8" w14:textId="049EBD2A" w:rsidR="00B14E2D" w:rsidRPr="00C507E2" w:rsidRDefault="00B14E2D" w:rsidP="00210F35">
      <w:pPr>
        <w:pStyle w:val="Akapitzlist"/>
        <w:numPr>
          <w:ilvl w:val="0"/>
          <w:numId w:val="18"/>
        </w:numPr>
        <w:spacing w:after="240" w:line="360" w:lineRule="auto"/>
        <w:jc w:val="both"/>
        <w:rPr>
          <w:rFonts w:ascii="Verdana" w:hAnsi="Verdana" w:cs="Consolas"/>
          <w:sz w:val="20"/>
          <w:szCs w:val="20"/>
          <w:lang w:val="en-GB" w:eastAsia="pl-PL"/>
        </w:rPr>
      </w:pPr>
      <w:r w:rsidRPr="00C507E2">
        <w:rPr>
          <w:rFonts w:ascii="Verdana" w:hAnsi="Verdana" w:cs="Arial"/>
          <w:sz w:val="20"/>
          <w:szCs w:val="20"/>
          <w:lang w:val="en-GB" w:bidi="en-US"/>
        </w:rPr>
        <w:t xml:space="preserve">they are authorised to </w:t>
      </w:r>
      <w:r w:rsidR="004466FE" w:rsidRPr="00C507E2">
        <w:rPr>
          <w:rFonts w:ascii="Verdana" w:hAnsi="Verdana" w:cs="Arial"/>
          <w:sz w:val="20"/>
          <w:szCs w:val="20"/>
          <w:lang w:val="en-GB" w:bidi="en-US"/>
        </w:rPr>
        <w:t>conduct business</w:t>
      </w:r>
      <w:r w:rsidRPr="00C507E2">
        <w:rPr>
          <w:rFonts w:ascii="Verdana" w:hAnsi="Verdana" w:cs="Arial"/>
          <w:sz w:val="20"/>
          <w:szCs w:val="20"/>
          <w:lang w:val="en-GB" w:bidi="en-US"/>
        </w:rPr>
        <w:t>, on own account and on the account of a client, as a Market Member in the alternative</w:t>
      </w:r>
      <w:r w:rsidR="00BB1D7B" w:rsidRPr="00C507E2">
        <w:rPr>
          <w:rFonts w:ascii="Verdana" w:hAnsi="Verdana" w:cs="Arial"/>
          <w:sz w:val="20"/>
          <w:szCs w:val="20"/>
          <w:lang w:val="en-GB" w:bidi="en-US"/>
        </w:rPr>
        <w:t xml:space="preserve"> trading system on NewConnect, </w:t>
      </w:r>
      <w:r w:rsidR="004466FE" w:rsidRPr="00C507E2">
        <w:rPr>
          <w:rFonts w:ascii="Verdana" w:hAnsi="Verdana" w:cs="Arial"/>
          <w:sz w:val="20"/>
          <w:szCs w:val="20"/>
          <w:lang w:val="en-GB" w:bidi="en-US"/>
        </w:rPr>
        <w:t xml:space="preserve">where the scope of the authorisation to conduct business shall be determined on the basis of the relevant resolution of the Exchange Management Board which specifies the date of the commencement of </w:t>
      </w:r>
      <w:r w:rsidR="008C5D1D" w:rsidRPr="00C507E2">
        <w:rPr>
          <w:rFonts w:ascii="Verdana" w:hAnsi="Verdana" w:cs="Arial"/>
          <w:sz w:val="20"/>
          <w:szCs w:val="20"/>
          <w:lang w:val="en-GB" w:bidi="en-US"/>
        </w:rPr>
        <w:t xml:space="preserve">conduct </w:t>
      </w:r>
      <w:r w:rsidR="004466FE" w:rsidRPr="00C507E2">
        <w:rPr>
          <w:rFonts w:ascii="Verdana" w:hAnsi="Verdana" w:cs="Arial"/>
          <w:sz w:val="20"/>
          <w:szCs w:val="20"/>
          <w:lang w:val="en-GB" w:bidi="en-US"/>
        </w:rPr>
        <w:t xml:space="preserve">business </w:t>
      </w:r>
      <w:r w:rsidR="00AC3F16" w:rsidRPr="00C507E2">
        <w:rPr>
          <w:rFonts w:ascii="Verdana" w:hAnsi="Verdana" w:cs="Arial"/>
          <w:sz w:val="20"/>
          <w:szCs w:val="20"/>
          <w:lang w:val="en-GB" w:bidi="en-US"/>
        </w:rPr>
        <w:t>with</w:t>
      </w:r>
      <w:r w:rsidR="004466FE" w:rsidRPr="00C507E2">
        <w:rPr>
          <w:rFonts w:ascii="Verdana" w:hAnsi="Verdana" w:cs="Arial"/>
          <w:sz w:val="20"/>
          <w:szCs w:val="20"/>
          <w:lang w:val="en-GB" w:bidi="en-US"/>
        </w:rPr>
        <w:t xml:space="preserve"> the relevant scope, referred to in § </w:t>
      </w:r>
      <w:r w:rsidR="006410F3" w:rsidRPr="00C507E2">
        <w:rPr>
          <w:rFonts w:ascii="Verdana" w:hAnsi="Verdana" w:cs="Arial"/>
          <w:sz w:val="20"/>
          <w:szCs w:val="20"/>
          <w:lang w:val="en-GB" w:bidi="en-US"/>
        </w:rPr>
        <w:t>19</w:t>
      </w:r>
      <w:r w:rsidR="004466FE" w:rsidRPr="00C507E2">
        <w:rPr>
          <w:rFonts w:ascii="Verdana" w:hAnsi="Verdana" w:cs="Arial"/>
          <w:sz w:val="20"/>
          <w:szCs w:val="20"/>
          <w:lang w:val="en-GB" w:bidi="en-US"/>
        </w:rPr>
        <w:t xml:space="preserve">(1) of the </w:t>
      </w:r>
      <w:r w:rsidR="006410F3" w:rsidRPr="00C507E2">
        <w:rPr>
          <w:rFonts w:ascii="Verdana" w:hAnsi="Verdana" w:cs="Arial"/>
          <w:sz w:val="20"/>
          <w:szCs w:val="20"/>
          <w:lang w:val="en-GB" w:bidi="en-US"/>
        </w:rPr>
        <w:t>Alternative Trading System</w:t>
      </w:r>
      <w:r w:rsidR="004466FE" w:rsidRPr="00C507E2">
        <w:rPr>
          <w:rFonts w:ascii="Verdana" w:hAnsi="Verdana" w:cs="Arial"/>
          <w:sz w:val="20"/>
          <w:szCs w:val="20"/>
          <w:lang w:val="en-GB" w:bidi="en-US"/>
        </w:rPr>
        <w:t xml:space="preserve"> Rules</w:t>
      </w:r>
      <w:r w:rsidR="006410F3" w:rsidRPr="00C507E2">
        <w:rPr>
          <w:rFonts w:ascii="Verdana" w:hAnsi="Verdana" w:cs="Arial"/>
          <w:sz w:val="20"/>
          <w:szCs w:val="20"/>
          <w:lang w:val="en-GB" w:bidi="en-US"/>
        </w:rPr>
        <w:t>.</w:t>
      </w:r>
    </w:p>
    <w:p w14:paraId="11829F1A" w14:textId="45003829" w:rsidR="007B2535" w:rsidRPr="00C507E2" w:rsidRDefault="007B2535" w:rsidP="007B2535">
      <w:pPr>
        <w:spacing w:after="120" w:line="360" w:lineRule="auto"/>
        <w:jc w:val="center"/>
        <w:rPr>
          <w:rFonts w:ascii="Verdana" w:hAnsi="Verdana" w:cs="Arial"/>
          <w:sz w:val="20"/>
          <w:szCs w:val="20"/>
          <w:lang w:val="en-GB" w:bidi="en-US"/>
        </w:rPr>
      </w:pPr>
      <w:r w:rsidRPr="00C507E2">
        <w:rPr>
          <w:rFonts w:ascii="Verdana" w:hAnsi="Verdana" w:cs="Arial"/>
          <w:sz w:val="20"/>
          <w:szCs w:val="20"/>
          <w:lang w:val="en-GB" w:bidi="en-US"/>
        </w:rPr>
        <w:t xml:space="preserve">§ </w:t>
      </w:r>
      <w:r w:rsidR="00A14B39" w:rsidRPr="00C507E2">
        <w:rPr>
          <w:rFonts w:ascii="Verdana" w:hAnsi="Verdana" w:cs="Arial"/>
          <w:sz w:val="20"/>
          <w:szCs w:val="20"/>
          <w:lang w:val="en-GB" w:bidi="en-US"/>
        </w:rPr>
        <w:t>3</w:t>
      </w:r>
    </w:p>
    <w:p w14:paraId="230F365C" w14:textId="43B3B537" w:rsidR="006410F3" w:rsidRPr="008D43BB" w:rsidRDefault="006410F3" w:rsidP="00057033">
      <w:pPr>
        <w:spacing w:after="120" w:line="360" w:lineRule="auto"/>
        <w:jc w:val="both"/>
        <w:rPr>
          <w:rFonts w:ascii="Verdana" w:hAnsi="Verdana" w:cs="Arial"/>
          <w:sz w:val="20"/>
          <w:szCs w:val="20"/>
          <w:lang w:val="en-GB" w:bidi="en-US"/>
        </w:rPr>
      </w:pPr>
      <w:r w:rsidRPr="00C507E2">
        <w:rPr>
          <w:rFonts w:ascii="Verdana" w:hAnsi="Verdana" w:cs="Arial"/>
          <w:sz w:val="20"/>
          <w:szCs w:val="20"/>
          <w:lang w:val="en-GB" w:bidi="en-US"/>
        </w:rPr>
        <w:t xml:space="preserve">This Resolution shall come into force on 1 September 2020 and </w:t>
      </w:r>
      <w:r w:rsidR="00F37DFC" w:rsidRPr="00C507E2">
        <w:rPr>
          <w:rFonts w:ascii="Verdana" w:hAnsi="Verdana" w:cs="Arial"/>
          <w:sz w:val="20"/>
          <w:szCs w:val="20"/>
          <w:lang w:val="en-GB" w:bidi="en-US"/>
        </w:rPr>
        <w:t xml:space="preserve">shall </w:t>
      </w:r>
      <w:r w:rsidRPr="00C507E2">
        <w:rPr>
          <w:rFonts w:ascii="Verdana" w:hAnsi="Verdana" w:cs="Arial"/>
          <w:sz w:val="20"/>
          <w:szCs w:val="20"/>
          <w:lang w:val="en-GB" w:bidi="en-US"/>
        </w:rPr>
        <w:t xml:space="preserve">remain in effect until </w:t>
      </w:r>
      <w:r w:rsidR="00035319" w:rsidRPr="00C507E2">
        <w:rPr>
          <w:rFonts w:ascii="Verdana" w:hAnsi="Verdana" w:cs="Arial"/>
          <w:sz w:val="20"/>
          <w:szCs w:val="20"/>
          <w:lang w:val="en-US"/>
        </w:rPr>
        <w:t xml:space="preserve">30 April 2026 </w:t>
      </w:r>
      <w:r w:rsidRPr="00C507E2">
        <w:rPr>
          <w:rFonts w:ascii="Verdana" w:hAnsi="Verdana" w:cs="Arial"/>
          <w:sz w:val="20"/>
          <w:szCs w:val="20"/>
          <w:lang w:val="en-GB" w:bidi="en-US"/>
        </w:rPr>
        <w:t>unless the Exchange Management Board decides to exten</w:t>
      </w:r>
      <w:r w:rsidR="00F37DFC" w:rsidRPr="00C507E2">
        <w:rPr>
          <w:rFonts w:ascii="Verdana" w:hAnsi="Verdana" w:cs="Arial"/>
          <w:sz w:val="20"/>
          <w:szCs w:val="20"/>
          <w:lang w:val="en-GB" w:bidi="en-US"/>
        </w:rPr>
        <w:t>d</w:t>
      </w:r>
      <w:r w:rsidRPr="00C507E2">
        <w:rPr>
          <w:rFonts w:ascii="Verdana" w:hAnsi="Verdana" w:cs="Arial"/>
          <w:sz w:val="20"/>
          <w:szCs w:val="20"/>
          <w:lang w:val="en-GB" w:bidi="en-US"/>
        </w:rPr>
        <w:t xml:space="preserve"> its validity.</w:t>
      </w:r>
    </w:p>
    <w:p w14:paraId="55606F17" w14:textId="77777777" w:rsidR="00057033" w:rsidRPr="008D43BB" w:rsidRDefault="00057033" w:rsidP="007B2535">
      <w:pPr>
        <w:spacing w:after="120" w:line="360" w:lineRule="auto"/>
        <w:jc w:val="both"/>
        <w:rPr>
          <w:rFonts w:ascii="Verdana" w:hAnsi="Verdana" w:cs="Arial"/>
          <w:sz w:val="20"/>
          <w:szCs w:val="20"/>
          <w:lang w:val="en-GB" w:bidi="en-US"/>
        </w:rPr>
      </w:pPr>
    </w:p>
    <w:p w14:paraId="577A159D" w14:textId="2B39A6C4" w:rsidR="00053CD6" w:rsidRPr="008D43BB" w:rsidRDefault="00053CD6" w:rsidP="007B2535">
      <w:pPr>
        <w:rPr>
          <w:rFonts w:ascii="Verdana" w:hAnsi="Verdana"/>
          <w:sz w:val="20"/>
          <w:szCs w:val="20"/>
          <w:lang w:val="en-GB"/>
        </w:rPr>
      </w:pPr>
    </w:p>
    <w:sectPr w:rsidR="00053CD6" w:rsidRPr="008D43BB" w:rsidSect="00710731">
      <w:footerReference w:type="default" r:id="rId9"/>
      <w:headerReference w:type="first" r:id="rId10"/>
      <w:footerReference w:type="first" r:id="rId11"/>
      <w:type w:val="continuous"/>
      <w:pgSz w:w="11906" w:h="16838" w:code="9"/>
      <w:pgMar w:top="1701"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644D4" w14:textId="77777777" w:rsidR="00A85DDC" w:rsidRDefault="00A85DDC" w:rsidP="0086331F">
      <w:pPr>
        <w:spacing w:after="0" w:line="240" w:lineRule="auto"/>
      </w:pPr>
      <w:r>
        <w:separator/>
      </w:r>
    </w:p>
  </w:endnote>
  <w:endnote w:type="continuationSeparator" w:id="0">
    <w:p w14:paraId="41D3FD70" w14:textId="77777777" w:rsidR="00A85DDC" w:rsidRDefault="00A85DDC" w:rsidP="0086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51EB" w14:textId="77777777" w:rsidR="00726330" w:rsidRDefault="00414720">
    <w:pPr>
      <w:pStyle w:val="Stopka"/>
    </w:pPr>
    <w:r>
      <w:rPr>
        <w:noProof/>
        <w:lang w:eastAsia="pl-PL"/>
      </w:rPr>
      <w:drawing>
        <wp:anchor distT="0" distB="0" distL="114300" distR="114300" simplePos="0" relativeHeight="251658752" behindDoc="1" locked="0" layoutInCell="1" allowOverlap="1" wp14:anchorId="35BD18EC" wp14:editId="3271E323">
          <wp:simplePos x="0" y="0"/>
          <wp:positionH relativeFrom="column">
            <wp:posOffset>-1372235</wp:posOffset>
          </wp:positionH>
          <wp:positionV relativeFrom="paragraph">
            <wp:posOffset>-465455</wp:posOffset>
          </wp:positionV>
          <wp:extent cx="7564755" cy="1068705"/>
          <wp:effectExtent l="0" t="0" r="0" b="0"/>
          <wp:wrapNone/>
          <wp:docPr id="16" name="Obraz 16" descr="papier firmowy nowe logo ogoln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pier firmowy nowe logo ogoln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B53D" w14:textId="77777777" w:rsidR="00726330" w:rsidRDefault="00414720">
    <w:pPr>
      <w:pStyle w:val="Stopka"/>
    </w:pPr>
    <w:r>
      <w:rPr>
        <w:noProof/>
        <w:lang w:eastAsia="pl-PL"/>
      </w:rPr>
      <w:drawing>
        <wp:anchor distT="0" distB="0" distL="114300" distR="114300" simplePos="0" relativeHeight="251657728" behindDoc="1" locked="0" layoutInCell="1" allowOverlap="1" wp14:anchorId="0C3EBFD1" wp14:editId="5E516374">
          <wp:simplePos x="0" y="0"/>
          <wp:positionH relativeFrom="column">
            <wp:posOffset>-826770</wp:posOffset>
          </wp:positionH>
          <wp:positionV relativeFrom="paragraph">
            <wp:posOffset>-459740</wp:posOffset>
          </wp:positionV>
          <wp:extent cx="7564755" cy="1068705"/>
          <wp:effectExtent l="0" t="0" r="0" b="0"/>
          <wp:wrapNone/>
          <wp:docPr id="18" name="Obraz 18" descr="papier firmowy nowe logo ogoln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pier firmowy nowe logo ogolny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BF7F" w14:textId="77777777" w:rsidR="00A85DDC" w:rsidRDefault="00A85DDC" w:rsidP="0086331F">
      <w:pPr>
        <w:spacing w:after="0" w:line="240" w:lineRule="auto"/>
      </w:pPr>
      <w:r>
        <w:separator/>
      </w:r>
    </w:p>
  </w:footnote>
  <w:footnote w:type="continuationSeparator" w:id="0">
    <w:p w14:paraId="5B037AE2" w14:textId="77777777" w:rsidR="00A85DDC" w:rsidRDefault="00A85DDC" w:rsidP="00863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CC42" w14:textId="77777777" w:rsidR="00726330" w:rsidRPr="00D070CB" w:rsidRDefault="00414720">
    <w:pPr>
      <w:pStyle w:val="Nagwek"/>
    </w:pPr>
    <w:r>
      <w:rPr>
        <w:noProof/>
        <w:lang w:eastAsia="pl-PL"/>
      </w:rPr>
      <w:drawing>
        <wp:anchor distT="0" distB="0" distL="114300" distR="114300" simplePos="0" relativeHeight="251656704" behindDoc="1" locked="0" layoutInCell="1" allowOverlap="1" wp14:anchorId="5623818B" wp14:editId="2B2D8471">
          <wp:simplePos x="0" y="0"/>
          <wp:positionH relativeFrom="column">
            <wp:posOffset>-835025</wp:posOffset>
          </wp:positionH>
          <wp:positionV relativeFrom="paragraph">
            <wp:posOffset>-447040</wp:posOffset>
          </wp:positionV>
          <wp:extent cx="7564755" cy="1068705"/>
          <wp:effectExtent l="0" t="0" r="0" b="0"/>
          <wp:wrapNone/>
          <wp:docPr id="17" name="Obraz 17"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ier firmowy nowe logo ogoln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621F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48D3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6E7D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EC8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149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3E64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1CE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F2FC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4FC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FCD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C0050"/>
    <w:multiLevelType w:val="hybridMultilevel"/>
    <w:tmpl w:val="503093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883FB2"/>
    <w:multiLevelType w:val="hybridMultilevel"/>
    <w:tmpl w:val="5D340C2E"/>
    <w:lvl w:ilvl="0" w:tplc="2C9486F2">
      <w:start w:val="1"/>
      <w:numFmt w:val="lowerLetter"/>
      <w:lvlText w:val="%1)"/>
      <w:lvlJc w:val="left"/>
      <w:pPr>
        <w:ind w:left="791"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3854EBD"/>
    <w:multiLevelType w:val="hybridMultilevel"/>
    <w:tmpl w:val="705E4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9A5C46"/>
    <w:multiLevelType w:val="hybridMultilevel"/>
    <w:tmpl w:val="F3FE0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FD26F8"/>
    <w:multiLevelType w:val="hybridMultilevel"/>
    <w:tmpl w:val="1EA02F7E"/>
    <w:lvl w:ilvl="0" w:tplc="B31A781A">
      <w:start w:val="1"/>
      <w:numFmt w:val="decimal"/>
      <w:lvlText w:val="%1)"/>
      <w:lvlJc w:val="left"/>
      <w:pPr>
        <w:tabs>
          <w:tab w:val="num" w:pos="340"/>
        </w:tabs>
        <w:ind w:left="340" w:hanging="34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2069C4"/>
    <w:multiLevelType w:val="hybridMultilevel"/>
    <w:tmpl w:val="302C64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971541"/>
    <w:multiLevelType w:val="hybridMultilevel"/>
    <w:tmpl w:val="F37EAA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846925"/>
    <w:multiLevelType w:val="hybridMultilevel"/>
    <w:tmpl w:val="8E225B60"/>
    <w:lvl w:ilvl="0" w:tplc="CDCE14D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8171643">
    <w:abstractNumId w:val="8"/>
  </w:num>
  <w:num w:numId="2" w16cid:durableId="1267927256">
    <w:abstractNumId w:val="3"/>
  </w:num>
  <w:num w:numId="3" w16cid:durableId="867912361">
    <w:abstractNumId w:val="2"/>
  </w:num>
  <w:num w:numId="4" w16cid:durableId="867304571">
    <w:abstractNumId w:val="1"/>
  </w:num>
  <w:num w:numId="5" w16cid:durableId="1919826006">
    <w:abstractNumId w:val="0"/>
  </w:num>
  <w:num w:numId="6" w16cid:durableId="2052803686">
    <w:abstractNumId w:val="9"/>
  </w:num>
  <w:num w:numId="7" w16cid:durableId="1278830417">
    <w:abstractNumId w:val="7"/>
  </w:num>
  <w:num w:numId="8" w16cid:durableId="283582301">
    <w:abstractNumId w:val="6"/>
  </w:num>
  <w:num w:numId="9" w16cid:durableId="2072843306">
    <w:abstractNumId w:val="5"/>
  </w:num>
  <w:num w:numId="10" w16cid:durableId="1846818714">
    <w:abstractNumId w:val="4"/>
  </w:num>
  <w:num w:numId="11" w16cid:durableId="1795637533">
    <w:abstractNumId w:val="11"/>
  </w:num>
  <w:num w:numId="12" w16cid:durableId="130908144">
    <w:abstractNumId w:val="12"/>
  </w:num>
  <w:num w:numId="13" w16cid:durableId="599996931">
    <w:abstractNumId w:val="13"/>
  </w:num>
  <w:num w:numId="14" w16cid:durableId="2009672105">
    <w:abstractNumId w:val="17"/>
  </w:num>
  <w:num w:numId="15" w16cid:durableId="72357522">
    <w:abstractNumId w:val="10"/>
  </w:num>
  <w:num w:numId="16" w16cid:durableId="1870333701">
    <w:abstractNumId w:val="15"/>
  </w:num>
  <w:num w:numId="17" w16cid:durableId="1453938401">
    <w:abstractNumId w:val="16"/>
  </w:num>
  <w:num w:numId="18" w16cid:durableId="1747218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34"/>
    <w:rsid w:val="00010123"/>
    <w:rsid w:val="000201AE"/>
    <w:rsid w:val="000210D7"/>
    <w:rsid w:val="00035319"/>
    <w:rsid w:val="00053CD6"/>
    <w:rsid w:val="00057033"/>
    <w:rsid w:val="000668EE"/>
    <w:rsid w:val="00085AE6"/>
    <w:rsid w:val="000927D6"/>
    <w:rsid w:val="00096970"/>
    <w:rsid w:val="000A17D1"/>
    <w:rsid w:val="000B64FC"/>
    <w:rsid w:val="000D1033"/>
    <w:rsid w:val="000E6EDA"/>
    <w:rsid w:val="00101B16"/>
    <w:rsid w:val="00112C41"/>
    <w:rsid w:val="00122179"/>
    <w:rsid w:val="00124B90"/>
    <w:rsid w:val="0013142E"/>
    <w:rsid w:val="00133C43"/>
    <w:rsid w:val="00147200"/>
    <w:rsid w:val="0014763C"/>
    <w:rsid w:val="001540E4"/>
    <w:rsid w:val="00181876"/>
    <w:rsid w:val="0019159F"/>
    <w:rsid w:val="001C6A53"/>
    <w:rsid w:val="002017F6"/>
    <w:rsid w:val="00205E34"/>
    <w:rsid w:val="00210F35"/>
    <w:rsid w:val="002547DE"/>
    <w:rsid w:val="00267453"/>
    <w:rsid w:val="002853E8"/>
    <w:rsid w:val="0028720C"/>
    <w:rsid w:val="00297051"/>
    <w:rsid w:val="002C095E"/>
    <w:rsid w:val="002D4AC8"/>
    <w:rsid w:val="002E1F5D"/>
    <w:rsid w:val="002E4242"/>
    <w:rsid w:val="002F2B04"/>
    <w:rsid w:val="002F3970"/>
    <w:rsid w:val="003014D9"/>
    <w:rsid w:val="00307975"/>
    <w:rsid w:val="003133AB"/>
    <w:rsid w:val="003179C4"/>
    <w:rsid w:val="0032096B"/>
    <w:rsid w:val="00324714"/>
    <w:rsid w:val="003255C2"/>
    <w:rsid w:val="003341E4"/>
    <w:rsid w:val="003478BD"/>
    <w:rsid w:val="003517EE"/>
    <w:rsid w:val="003536D4"/>
    <w:rsid w:val="00377A1F"/>
    <w:rsid w:val="003931DF"/>
    <w:rsid w:val="003C0A05"/>
    <w:rsid w:val="003C10BA"/>
    <w:rsid w:val="003C4CD9"/>
    <w:rsid w:val="003C7D30"/>
    <w:rsid w:val="003D60F8"/>
    <w:rsid w:val="003F0524"/>
    <w:rsid w:val="003F1C64"/>
    <w:rsid w:val="00414720"/>
    <w:rsid w:val="00436B8E"/>
    <w:rsid w:val="00441205"/>
    <w:rsid w:val="004466FE"/>
    <w:rsid w:val="00447F86"/>
    <w:rsid w:val="004944AF"/>
    <w:rsid w:val="004F29FB"/>
    <w:rsid w:val="005042F9"/>
    <w:rsid w:val="00510DB9"/>
    <w:rsid w:val="00535D26"/>
    <w:rsid w:val="005502C1"/>
    <w:rsid w:val="005505A3"/>
    <w:rsid w:val="0055293F"/>
    <w:rsid w:val="005578BF"/>
    <w:rsid w:val="00566C2D"/>
    <w:rsid w:val="00595EF7"/>
    <w:rsid w:val="005A3AA3"/>
    <w:rsid w:val="005B5361"/>
    <w:rsid w:val="005B7A2A"/>
    <w:rsid w:val="005C2F82"/>
    <w:rsid w:val="005F2BA5"/>
    <w:rsid w:val="00604C77"/>
    <w:rsid w:val="00625FB7"/>
    <w:rsid w:val="00630206"/>
    <w:rsid w:val="00634EB0"/>
    <w:rsid w:val="006410F3"/>
    <w:rsid w:val="00682ACC"/>
    <w:rsid w:val="006918E1"/>
    <w:rsid w:val="00691DD0"/>
    <w:rsid w:val="006B0749"/>
    <w:rsid w:val="00710731"/>
    <w:rsid w:val="00711909"/>
    <w:rsid w:val="00712B1A"/>
    <w:rsid w:val="00726330"/>
    <w:rsid w:val="0073495A"/>
    <w:rsid w:val="00747ED2"/>
    <w:rsid w:val="00753626"/>
    <w:rsid w:val="00786543"/>
    <w:rsid w:val="007918E6"/>
    <w:rsid w:val="007A609C"/>
    <w:rsid w:val="007A7C74"/>
    <w:rsid w:val="007B0873"/>
    <w:rsid w:val="007B2535"/>
    <w:rsid w:val="007C4A4A"/>
    <w:rsid w:val="007C4D3F"/>
    <w:rsid w:val="007E051A"/>
    <w:rsid w:val="007E7961"/>
    <w:rsid w:val="007F0DBB"/>
    <w:rsid w:val="007F3012"/>
    <w:rsid w:val="0080731C"/>
    <w:rsid w:val="0081548E"/>
    <w:rsid w:val="00827FC3"/>
    <w:rsid w:val="0086331F"/>
    <w:rsid w:val="008974A6"/>
    <w:rsid w:val="008C5D1D"/>
    <w:rsid w:val="008D43BB"/>
    <w:rsid w:val="008D4EC5"/>
    <w:rsid w:val="00905339"/>
    <w:rsid w:val="00914C3C"/>
    <w:rsid w:val="00914DB0"/>
    <w:rsid w:val="009249AA"/>
    <w:rsid w:val="009257ED"/>
    <w:rsid w:val="009343C4"/>
    <w:rsid w:val="00945E59"/>
    <w:rsid w:val="00967834"/>
    <w:rsid w:val="00985EF5"/>
    <w:rsid w:val="0099378E"/>
    <w:rsid w:val="009956A2"/>
    <w:rsid w:val="009B202F"/>
    <w:rsid w:val="009C2B5C"/>
    <w:rsid w:val="009C30FC"/>
    <w:rsid w:val="009F304E"/>
    <w:rsid w:val="00A027DF"/>
    <w:rsid w:val="00A04CFC"/>
    <w:rsid w:val="00A1474E"/>
    <w:rsid w:val="00A14B39"/>
    <w:rsid w:val="00A15843"/>
    <w:rsid w:val="00A20847"/>
    <w:rsid w:val="00A52DEF"/>
    <w:rsid w:val="00A64413"/>
    <w:rsid w:val="00A653F5"/>
    <w:rsid w:val="00A76B3A"/>
    <w:rsid w:val="00A85B76"/>
    <w:rsid w:val="00A85DDC"/>
    <w:rsid w:val="00AC3F16"/>
    <w:rsid w:val="00AD5B60"/>
    <w:rsid w:val="00B14E2D"/>
    <w:rsid w:val="00B24D84"/>
    <w:rsid w:val="00B53CBA"/>
    <w:rsid w:val="00B57C49"/>
    <w:rsid w:val="00B6026B"/>
    <w:rsid w:val="00B60F9B"/>
    <w:rsid w:val="00B66D25"/>
    <w:rsid w:val="00B67F37"/>
    <w:rsid w:val="00B72AB8"/>
    <w:rsid w:val="00B80E79"/>
    <w:rsid w:val="00BB1D7B"/>
    <w:rsid w:val="00BC59CE"/>
    <w:rsid w:val="00BD0E82"/>
    <w:rsid w:val="00C07875"/>
    <w:rsid w:val="00C41CC7"/>
    <w:rsid w:val="00C507E2"/>
    <w:rsid w:val="00C50DC1"/>
    <w:rsid w:val="00C60D5B"/>
    <w:rsid w:val="00C6319C"/>
    <w:rsid w:val="00C652AA"/>
    <w:rsid w:val="00CA5DF2"/>
    <w:rsid w:val="00CB511A"/>
    <w:rsid w:val="00CC54CE"/>
    <w:rsid w:val="00CC618C"/>
    <w:rsid w:val="00CD2726"/>
    <w:rsid w:val="00CF75FF"/>
    <w:rsid w:val="00D070CB"/>
    <w:rsid w:val="00D4173B"/>
    <w:rsid w:val="00D4343F"/>
    <w:rsid w:val="00D47570"/>
    <w:rsid w:val="00D51B8B"/>
    <w:rsid w:val="00D60338"/>
    <w:rsid w:val="00D70618"/>
    <w:rsid w:val="00D80302"/>
    <w:rsid w:val="00DB46D1"/>
    <w:rsid w:val="00DB70B1"/>
    <w:rsid w:val="00DC24DF"/>
    <w:rsid w:val="00DD64FB"/>
    <w:rsid w:val="00DD6E0A"/>
    <w:rsid w:val="00DE5307"/>
    <w:rsid w:val="00DF142E"/>
    <w:rsid w:val="00E01C46"/>
    <w:rsid w:val="00E07000"/>
    <w:rsid w:val="00E13158"/>
    <w:rsid w:val="00E16F21"/>
    <w:rsid w:val="00E255D6"/>
    <w:rsid w:val="00E41AB3"/>
    <w:rsid w:val="00E438A7"/>
    <w:rsid w:val="00E5154F"/>
    <w:rsid w:val="00E70AAD"/>
    <w:rsid w:val="00E77FC4"/>
    <w:rsid w:val="00E81440"/>
    <w:rsid w:val="00EC6497"/>
    <w:rsid w:val="00EF4E65"/>
    <w:rsid w:val="00F12B86"/>
    <w:rsid w:val="00F2301B"/>
    <w:rsid w:val="00F37DFC"/>
    <w:rsid w:val="00F4690E"/>
    <w:rsid w:val="00F93852"/>
    <w:rsid w:val="00FB4C88"/>
    <w:rsid w:val="00FE40F1"/>
    <w:rsid w:val="00FE43C4"/>
    <w:rsid w:val="00FF7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8543F5"/>
  <w15:chartTrackingRefBased/>
  <w15:docId w15:val="{71E96A12-FB53-4147-B320-BD9E9D1A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E6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05E3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05E34"/>
    <w:rPr>
      <w:rFonts w:ascii="Tahoma" w:hAnsi="Tahoma" w:cs="Tahoma"/>
      <w:sz w:val="16"/>
      <w:szCs w:val="16"/>
    </w:rPr>
  </w:style>
  <w:style w:type="paragraph" w:styleId="Nagwek">
    <w:name w:val="header"/>
    <w:basedOn w:val="Normalny"/>
    <w:link w:val="NagwekZnak"/>
    <w:uiPriority w:val="99"/>
    <w:unhideWhenUsed/>
    <w:rsid w:val="008633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331F"/>
  </w:style>
  <w:style w:type="paragraph" w:styleId="Stopka">
    <w:name w:val="footer"/>
    <w:basedOn w:val="Normalny"/>
    <w:link w:val="StopkaZnak"/>
    <w:uiPriority w:val="99"/>
    <w:unhideWhenUsed/>
    <w:rsid w:val="008633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331F"/>
  </w:style>
  <w:style w:type="paragraph" w:styleId="Bezodstpw">
    <w:name w:val="No Spacing"/>
    <w:link w:val="BezodstpwZnak"/>
    <w:uiPriority w:val="1"/>
    <w:qFormat/>
    <w:rsid w:val="00C60D5B"/>
    <w:rPr>
      <w:rFonts w:eastAsia="Times New Roman"/>
      <w:sz w:val="22"/>
      <w:szCs w:val="22"/>
      <w:lang w:eastAsia="en-US"/>
    </w:rPr>
  </w:style>
  <w:style w:type="character" w:customStyle="1" w:styleId="BezodstpwZnak">
    <w:name w:val="Bez odstępów Znak"/>
    <w:link w:val="Bezodstpw"/>
    <w:uiPriority w:val="1"/>
    <w:rsid w:val="00C60D5B"/>
    <w:rPr>
      <w:rFonts w:eastAsia="Times New Roman"/>
      <w:sz w:val="22"/>
      <w:szCs w:val="22"/>
      <w:lang w:val="pl-PL" w:eastAsia="en-US" w:bidi="ar-SA"/>
    </w:rPr>
  </w:style>
  <w:style w:type="paragraph" w:styleId="Akapitzlist">
    <w:name w:val="List Paragraph"/>
    <w:basedOn w:val="Normalny"/>
    <w:uiPriority w:val="34"/>
    <w:qFormat/>
    <w:rsid w:val="00CB511A"/>
    <w:pPr>
      <w:ind w:left="720"/>
      <w:contextualSpacing/>
    </w:pPr>
  </w:style>
  <w:style w:type="character" w:styleId="Odwoaniedokomentarza">
    <w:name w:val="annotation reference"/>
    <w:basedOn w:val="Domylnaczcionkaakapitu"/>
    <w:uiPriority w:val="99"/>
    <w:semiHidden/>
    <w:unhideWhenUsed/>
    <w:rsid w:val="00057033"/>
    <w:rPr>
      <w:sz w:val="16"/>
      <w:szCs w:val="16"/>
    </w:rPr>
  </w:style>
  <w:style w:type="paragraph" w:styleId="Tekstkomentarza">
    <w:name w:val="annotation text"/>
    <w:basedOn w:val="Normalny"/>
    <w:link w:val="TekstkomentarzaZnak"/>
    <w:uiPriority w:val="99"/>
    <w:semiHidden/>
    <w:unhideWhenUsed/>
    <w:rsid w:val="000570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7033"/>
    <w:rPr>
      <w:lang w:eastAsia="en-US"/>
    </w:rPr>
  </w:style>
  <w:style w:type="paragraph" w:styleId="Tematkomentarza">
    <w:name w:val="annotation subject"/>
    <w:basedOn w:val="Tekstkomentarza"/>
    <w:next w:val="Tekstkomentarza"/>
    <w:link w:val="TematkomentarzaZnak"/>
    <w:uiPriority w:val="99"/>
    <w:semiHidden/>
    <w:unhideWhenUsed/>
    <w:rsid w:val="00057033"/>
    <w:rPr>
      <w:b/>
      <w:bCs/>
    </w:rPr>
  </w:style>
  <w:style w:type="character" w:customStyle="1" w:styleId="TematkomentarzaZnak">
    <w:name w:val="Temat komentarza Znak"/>
    <w:basedOn w:val="TekstkomentarzaZnak"/>
    <w:link w:val="Tematkomentarza"/>
    <w:uiPriority w:val="99"/>
    <w:semiHidden/>
    <w:rsid w:val="00057033"/>
    <w:rPr>
      <w:b/>
      <w:bCs/>
      <w:lang w:eastAsia="en-US"/>
    </w:rPr>
  </w:style>
  <w:style w:type="paragraph" w:styleId="Poprawka">
    <w:name w:val="Revision"/>
    <w:hidden/>
    <w:uiPriority w:val="99"/>
    <w:semiHidden/>
    <w:rsid w:val="00057033"/>
    <w:rPr>
      <w:sz w:val="22"/>
      <w:szCs w:val="22"/>
      <w:lang w:eastAsia="en-US"/>
    </w:rPr>
  </w:style>
  <w:style w:type="paragraph" w:styleId="Tekstprzypisukocowego">
    <w:name w:val="endnote text"/>
    <w:basedOn w:val="Normalny"/>
    <w:link w:val="TekstprzypisukocowegoZnak"/>
    <w:uiPriority w:val="99"/>
    <w:semiHidden/>
    <w:unhideWhenUsed/>
    <w:rsid w:val="00E255D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55D6"/>
    <w:rPr>
      <w:lang w:eastAsia="en-US"/>
    </w:rPr>
  </w:style>
  <w:style w:type="character" w:styleId="Odwoanieprzypisukocowego">
    <w:name w:val="endnote reference"/>
    <w:basedOn w:val="Domylnaczcionkaakapitu"/>
    <w:uiPriority w:val="99"/>
    <w:semiHidden/>
    <w:unhideWhenUsed/>
    <w:rsid w:val="00E25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34EC1E4F-8F44-40F6-9A62-81167495721D}">
  <ds:schemaRefs>
    <ds:schemaRef ds:uri="http://schemas.openxmlformats.org/officeDocument/2006/bibliography"/>
  </ds:schemaRefs>
</ds:datastoreItem>
</file>

<file path=customXml/itemProps2.xml><?xml version="1.0" encoding="utf-8"?>
<ds:datastoreItem xmlns:ds="http://schemas.openxmlformats.org/officeDocument/2006/customXml" ds:itemID="{D63800FD-CAE0-4288-9199-34552339228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380</Words>
  <Characters>2282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#Kategoria: [Wewnętrzne/Nie zawiera danych osobowych]# </cp:keywords>
  <cp:lastModifiedBy>Kędziora Roman</cp:lastModifiedBy>
  <cp:revision>3</cp:revision>
  <cp:lastPrinted>2020-08-20T10:57:00Z</cp:lastPrinted>
  <dcterms:created xsi:type="dcterms:W3CDTF">2025-10-13T16:24:00Z</dcterms:created>
  <dcterms:modified xsi:type="dcterms:W3CDTF">2025-10-14T14:38:00Z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6d679305-dae8-4f76-934e-b75d91d5d1a5</vt:lpwstr>
  </property>
  <property fmtid="{D5CDD505-2E9C-101B-9397-08002B2CF9AE}" pid="3" name="bjSaver">
    <vt:lpwstr>t0PFlb9CW86Ufg8kSl1ZTJSZJlnWJbVj</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