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98183" w14:textId="719883ED" w:rsidR="009373BD" w:rsidRPr="000D4374" w:rsidRDefault="000D4374" w:rsidP="006C32D8">
      <w:pPr>
        <w:spacing w:before="120" w:after="0" w:line="360" w:lineRule="auto"/>
        <w:jc w:val="center"/>
        <w:rPr>
          <w:rFonts w:ascii="Verdana" w:hAnsi="Verdana" w:cs="Arial"/>
          <w:sz w:val="20"/>
          <w:szCs w:val="20"/>
          <w:lang w:val="en-GB"/>
        </w:rPr>
      </w:pPr>
      <w:r>
        <w:rPr>
          <w:rFonts w:ascii="Verdana" w:hAnsi="Verdana" w:cs="Arial"/>
          <w:sz w:val="20"/>
          <w:szCs w:val="20"/>
          <w:lang w:val="en-GB"/>
        </w:rPr>
        <w:t>Resolution No.</w:t>
      </w:r>
      <w:r w:rsidR="009373BD" w:rsidRPr="000D4374">
        <w:rPr>
          <w:rFonts w:ascii="Verdana" w:hAnsi="Verdana" w:cs="Arial"/>
          <w:sz w:val="20"/>
          <w:szCs w:val="20"/>
          <w:lang w:val="en-GB"/>
        </w:rPr>
        <w:t xml:space="preserve"> </w:t>
      </w:r>
      <w:r w:rsidR="002776A3" w:rsidRPr="000D4374">
        <w:rPr>
          <w:rFonts w:ascii="Verdana" w:hAnsi="Verdana" w:cs="Arial"/>
          <w:sz w:val="20"/>
          <w:szCs w:val="20"/>
          <w:lang w:val="en-GB"/>
        </w:rPr>
        <w:t>1630</w:t>
      </w:r>
      <w:r w:rsidR="009373BD" w:rsidRPr="000D4374">
        <w:rPr>
          <w:rFonts w:ascii="Verdana" w:hAnsi="Verdana" w:cs="Arial"/>
          <w:sz w:val="20"/>
          <w:szCs w:val="20"/>
          <w:lang w:val="en-GB"/>
        </w:rPr>
        <w:t>/202</w:t>
      </w:r>
      <w:r w:rsidR="008F681B" w:rsidRPr="000D4374">
        <w:rPr>
          <w:rFonts w:ascii="Verdana" w:hAnsi="Verdana" w:cs="Arial"/>
          <w:sz w:val="20"/>
          <w:szCs w:val="20"/>
          <w:lang w:val="en-GB"/>
        </w:rPr>
        <w:t>4</w:t>
      </w:r>
    </w:p>
    <w:p w14:paraId="38EA2E3F" w14:textId="5EDE05D3" w:rsidR="009373BD" w:rsidRPr="000D4374" w:rsidRDefault="000D4374" w:rsidP="009373BD">
      <w:pPr>
        <w:spacing w:after="0" w:line="360" w:lineRule="auto"/>
        <w:jc w:val="center"/>
        <w:rPr>
          <w:rFonts w:ascii="Verdana" w:hAnsi="Verdana" w:cs="Arial"/>
          <w:sz w:val="20"/>
          <w:szCs w:val="20"/>
          <w:lang w:val="en-GB"/>
        </w:rPr>
      </w:pPr>
      <w:r>
        <w:rPr>
          <w:rFonts w:ascii="Verdana" w:hAnsi="Verdana" w:cs="Arial"/>
          <w:sz w:val="20"/>
          <w:szCs w:val="20"/>
          <w:lang w:val="en-GB"/>
        </w:rPr>
        <w:t>of the Warsaw Stock Exchange Management Board</w:t>
      </w:r>
    </w:p>
    <w:p w14:paraId="0AFCEE73" w14:textId="3481AE40" w:rsidR="009373BD" w:rsidRPr="000D4374" w:rsidRDefault="000D4374" w:rsidP="009373BD">
      <w:pPr>
        <w:spacing w:after="120" w:line="360" w:lineRule="auto"/>
        <w:jc w:val="center"/>
        <w:rPr>
          <w:rFonts w:ascii="Verdana" w:hAnsi="Verdana" w:cs="Arial"/>
          <w:sz w:val="20"/>
          <w:szCs w:val="20"/>
          <w:lang w:val="en-GB"/>
        </w:rPr>
      </w:pPr>
      <w:r>
        <w:rPr>
          <w:rFonts w:ascii="Verdana" w:hAnsi="Verdana" w:cs="Arial"/>
          <w:sz w:val="20"/>
          <w:szCs w:val="20"/>
          <w:lang w:val="en-GB"/>
        </w:rPr>
        <w:t>dated 16 December</w:t>
      </w:r>
      <w:r w:rsidR="008F681B" w:rsidRPr="000D4374">
        <w:rPr>
          <w:rFonts w:ascii="Verdana" w:hAnsi="Verdana" w:cs="Arial"/>
          <w:sz w:val="20"/>
          <w:szCs w:val="20"/>
          <w:lang w:val="en-GB"/>
        </w:rPr>
        <w:t xml:space="preserve"> </w:t>
      </w:r>
      <w:r w:rsidR="009373BD" w:rsidRPr="000D4374">
        <w:rPr>
          <w:rFonts w:ascii="Verdana" w:hAnsi="Verdana" w:cs="Arial"/>
          <w:sz w:val="20"/>
          <w:szCs w:val="20"/>
          <w:lang w:val="en-GB"/>
        </w:rPr>
        <w:t>202</w:t>
      </w:r>
      <w:r w:rsidR="008F681B" w:rsidRPr="000D4374">
        <w:rPr>
          <w:rFonts w:ascii="Verdana" w:hAnsi="Verdana" w:cs="Arial"/>
          <w:sz w:val="20"/>
          <w:szCs w:val="20"/>
          <w:lang w:val="en-GB"/>
        </w:rPr>
        <w:t>4</w:t>
      </w:r>
      <w:r w:rsidR="009373BD" w:rsidRPr="000D4374">
        <w:rPr>
          <w:rFonts w:ascii="Verdana" w:hAnsi="Verdana" w:cs="Arial"/>
          <w:sz w:val="20"/>
          <w:szCs w:val="20"/>
          <w:lang w:val="en-GB"/>
        </w:rPr>
        <w:t xml:space="preserve"> </w:t>
      </w:r>
    </w:p>
    <w:p w14:paraId="551EFBE3" w14:textId="556EC373" w:rsidR="009373BD" w:rsidRPr="000D4374" w:rsidRDefault="00C5645E" w:rsidP="006C32D8">
      <w:pPr>
        <w:spacing w:before="100" w:beforeAutospacing="1" w:after="120" w:line="360" w:lineRule="auto"/>
        <w:jc w:val="center"/>
        <w:outlineLvl w:val="1"/>
        <w:rPr>
          <w:rFonts w:ascii="Verdana" w:hAnsi="Verdana" w:cs="Arial"/>
          <w:sz w:val="20"/>
          <w:szCs w:val="20"/>
          <w:lang w:val="en-GB"/>
        </w:rPr>
      </w:pPr>
      <w:bookmarkStart w:id="0" w:name="_Hlk184042037"/>
      <w:r>
        <w:rPr>
          <w:rFonts w:ascii="Verdana" w:eastAsia="Times New Roman" w:hAnsi="Verdana"/>
          <w:sz w:val="20"/>
          <w:szCs w:val="20"/>
          <w:lang w:val="en-GB" w:eastAsia="pl-PL"/>
        </w:rPr>
        <w:t>concerning</w:t>
      </w:r>
      <w:r w:rsidR="000D4374">
        <w:rPr>
          <w:rFonts w:ascii="Verdana" w:eastAsia="Times New Roman" w:hAnsi="Verdana"/>
          <w:sz w:val="20"/>
          <w:szCs w:val="20"/>
          <w:lang w:val="en-GB" w:eastAsia="pl-PL"/>
        </w:rPr>
        <w:t xml:space="preserve"> a reduction of exchange fees charged on the GPW Main Market</w:t>
      </w:r>
      <w:r w:rsidR="006C32D8" w:rsidRPr="000D4374">
        <w:rPr>
          <w:rFonts w:ascii="Verdana" w:eastAsia="Times New Roman" w:hAnsi="Verdana"/>
          <w:sz w:val="20"/>
          <w:szCs w:val="20"/>
          <w:lang w:val="en-GB" w:eastAsia="pl-PL"/>
        </w:rPr>
        <w:t xml:space="preserve"> </w:t>
      </w:r>
      <w:r w:rsidR="00556749" w:rsidRPr="000D4374">
        <w:rPr>
          <w:rFonts w:ascii="Verdana" w:eastAsia="Times New Roman" w:hAnsi="Verdana"/>
          <w:sz w:val="20"/>
          <w:szCs w:val="20"/>
          <w:lang w:val="en-GB" w:eastAsia="pl-PL"/>
        </w:rPr>
        <w:br/>
      </w:r>
      <w:r w:rsidR="000D4374">
        <w:rPr>
          <w:rFonts w:ascii="Verdana" w:eastAsia="Times New Roman" w:hAnsi="Verdana"/>
          <w:sz w:val="20"/>
          <w:szCs w:val="20"/>
          <w:lang w:val="en-GB" w:eastAsia="pl-PL"/>
        </w:rPr>
        <w:t>on</w:t>
      </w:r>
      <w:r w:rsidR="006C32D8" w:rsidRPr="000D4374">
        <w:rPr>
          <w:rFonts w:ascii="Verdana" w:eastAsia="Times New Roman" w:hAnsi="Verdana"/>
          <w:sz w:val="20"/>
          <w:szCs w:val="20"/>
          <w:lang w:val="en-GB" w:eastAsia="pl-PL"/>
        </w:rPr>
        <w:t xml:space="preserve"> </w:t>
      </w:r>
      <w:r w:rsidR="008F681B" w:rsidRPr="000D4374">
        <w:rPr>
          <w:rFonts w:ascii="Verdana" w:eastAsia="Times New Roman" w:hAnsi="Verdana"/>
          <w:sz w:val="20"/>
          <w:szCs w:val="20"/>
          <w:lang w:val="en-GB" w:eastAsia="pl-PL"/>
        </w:rPr>
        <w:t xml:space="preserve">ETF, ETC </w:t>
      </w:r>
      <w:r w:rsidR="000D4374">
        <w:rPr>
          <w:rFonts w:ascii="Verdana" w:eastAsia="Times New Roman" w:hAnsi="Verdana"/>
          <w:sz w:val="20"/>
          <w:szCs w:val="20"/>
          <w:lang w:val="en-GB" w:eastAsia="pl-PL"/>
        </w:rPr>
        <w:t>and</w:t>
      </w:r>
      <w:r w:rsidR="008F681B" w:rsidRPr="000D4374">
        <w:rPr>
          <w:rFonts w:ascii="Verdana" w:eastAsia="Times New Roman" w:hAnsi="Verdana"/>
          <w:sz w:val="20"/>
          <w:szCs w:val="20"/>
          <w:lang w:val="en-GB" w:eastAsia="pl-PL"/>
        </w:rPr>
        <w:t xml:space="preserve"> ETN</w:t>
      </w:r>
      <w:bookmarkEnd w:id="0"/>
      <w:r w:rsidR="008F681B" w:rsidRPr="000D4374">
        <w:rPr>
          <w:rFonts w:ascii="Verdana" w:eastAsia="Times New Roman" w:hAnsi="Verdana"/>
          <w:sz w:val="20"/>
          <w:szCs w:val="20"/>
          <w:lang w:val="en-GB" w:eastAsia="pl-PL"/>
        </w:rPr>
        <w:t xml:space="preserve"> </w:t>
      </w:r>
      <w:r w:rsidR="000D4374">
        <w:rPr>
          <w:rFonts w:ascii="Verdana" w:eastAsia="Times New Roman" w:hAnsi="Verdana"/>
          <w:sz w:val="20"/>
          <w:szCs w:val="20"/>
          <w:lang w:val="en-GB" w:eastAsia="pl-PL"/>
        </w:rPr>
        <w:t>trade</w:t>
      </w:r>
      <w:r w:rsidR="008F681B" w:rsidRPr="000D4374">
        <w:rPr>
          <w:rFonts w:ascii="Verdana" w:eastAsia="Times New Roman" w:hAnsi="Verdana"/>
          <w:sz w:val="20"/>
          <w:szCs w:val="20"/>
          <w:lang w:val="en-GB" w:eastAsia="pl-PL"/>
        </w:rPr>
        <w:br/>
      </w:r>
    </w:p>
    <w:p w14:paraId="20B21A32" w14:textId="77777777" w:rsidR="009373BD" w:rsidRPr="000D4374" w:rsidRDefault="009373BD" w:rsidP="00D4710C">
      <w:pPr>
        <w:spacing w:after="0" w:line="360" w:lineRule="auto"/>
        <w:jc w:val="both"/>
        <w:rPr>
          <w:rFonts w:ascii="Verdana" w:hAnsi="Verdana" w:cs="Arial"/>
          <w:sz w:val="20"/>
          <w:szCs w:val="20"/>
          <w:lang w:val="en-GB"/>
        </w:rPr>
      </w:pPr>
    </w:p>
    <w:p w14:paraId="10839E3F" w14:textId="466C59F9" w:rsidR="000D4374" w:rsidRPr="000D4374" w:rsidRDefault="000D4374" w:rsidP="000D4374">
      <w:pPr>
        <w:spacing w:after="120" w:line="360" w:lineRule="auto"/>
        <w:jc w:val="both"/>
        <w:rPr>
          <w:rFonts w:ascii="Verdana" w:hAnsi="Verdana" w:cs="Arial"/>
          <w:sz w:val="20"/>
          <w:szCs w:val="20"/>
          <w:lang w:val="en-GB"/>
        </w:rPr>
      </w:pPr>
      <w:r w:rsidRPr="000D4374">
        <w:rPr>
          <w:rFonts w:ascii="Verdana" w:hAnsi="Verdana" w:cs="Arial"/>
          <w:sz w:val="20"/>
          <w:szCs w:val="20"/>
          <w:lang w:val="en-GB"/>
        </w:rPr>
        <w:t>Pursuant to § 20</w:t>
      </w:r>
      <w:r>
        <w:rPr>
          <w:rFonts w:ascii="Verdana" w:hAnsi="Verdana" w:cs="Arial"/>
          <w:sz w:val="20"/>
          <w:szCs w:val="20"/>
          <w:lang w:val="en-GB"/>
        </w:rPr>
        <w:t>(5)</w:t>
      </w:r>
      <w:r w:rsidRPr="000D4374">
        <w:rPr>
          <w:rFonts w:ascii="Verdana" w:hAnsi="Verdana" w:cs="Arial"/>
          <w:sz w:val="20"/>
          <w:szCs w:val="20"/>
          <w:lang w:val="en-GB"/>
        </w:rPr>
        <w:t xml:space="preserve"> of the Exchange Articles of Association and § 178 of the Exchange Rules,</w:t>
      </w:r>
      <w:r>
        <w:rPr>
          <w:rFonts w:ascii="Verdana" w:hAnsi="Verdana" w:cs="Arial"/>
          <w:sz w:val="20"/>
          <w:szCs w:val="20"/>
          <w:lang w:val="en-GB"/>
        </w:rPr>
        <w:t xml:space="preserve"> t</w:t>
      </w:r>
      <w:r w:rsidRPr="000D4374">
        <w:rPr>
          <w:rFonts w:ascii="Verdana" w:hAnsi="Verdana" w:cs="Arial"/>
          <w:sz w:val="20"/>
          <w:szCs w:val="20"/>
          <w:lang w:val="en-GB"/>
        </w:rPr>
        <w:t>he Exchange Management Board resolves as follows:</w:t>
      </w:r>
    </w:p>
    <w:p w14:paraId="09DF20CB" w14:textId="77777777" w:rsidR="009373BD" w:rsidRPr="000D4374" w:rsidRDefault="009373BD" w:rsidP="009373BD">
      <w:pPr>
        <w:spacing w:after="120" w:line="360" w:lineRule="auto"/>
        <w:jc w:val="center"/>
        <w:rPr>
          <w:rFonts w:ascii="Verdana" w:hAnsi="Verdana"/>
          <w:sz w:val="20"/>
          <w:szCs w:val="20"/>
          <w:lang w:val="en-GB"/>
        </w:rPr>
      </w:pPr>
      <w:r w:rsidRPr="000D4374">
        <w:rPr>
          <w:rFonts w:ascii="Verdana" w:hAnsi="Verdana"/>
          <w:sz w:val="20"/>
          <w:szCs w:val="20"/>
          <w:lang w:val="en-GB"/>
        </w:rPr>
        <w:t>§ 1</w:t>
      </w:r>
    </w:p>
    <w:p w14:paraId="3E6C4096" w14:textId="64A7666C" w:rsidR="000D4374" w:rsidRPr="000D4374" w:rsidRDefault="000D4374" w:rsidP="00B20FEF">
      <w:pPr>
        <w:spacing w:after="120" w:line="360" w:lineRule="auto"/>
        <w:jc w:val="both"/>
        <w:rPr>
          <w:rFonts w:ascii="Verdana" w:hAnsi="Verdana"/>
          <w:sz w:val="20"/>
          <w:szCs w:val="20"/>
          <w:lang w:val="en-GB"/>
        </w:rPr>
      </w:pPr>
      <w:r>
        <w:rPr>
          <w:rFonts w:ascii="Verdana" w:hAnsi="Verdana"/>
          <w:sz w:val="20"/>
          <w:szCs w:val="20"/>
          <w:lang w:val="en-GB"/>
        </w:rPr>
        <w:t>To the extent</w:t>
      </w:r>
      <w:r w:rsidRPr="000D4374">
        <w:rPr>
          <w:rFonts w:ascii="Verdana" w:hAnsi="Verdana"/>
          <w:sz w:val="20"/>
          <w:szCs w:val="20"/>
          <w:lang w:val="en-GB"/>
        </w:rPr>
        <w:t xml:space="preserve"> and under the rules set out in this resolution and in an appendix </w:t>
      </w:r>
      <w:r>
        <w:rPr>
          <w:rFonts w:ascii="Verdana" w:hAnsi="Verdana"/>
          <w:sz w:val="20"/>
          <w:szCs w:val="20"/>
          <w:lang w:val="en-GB"/>
        </w:rPr>
        <w:t>hereto</w:t>
      </w:r>
      <w:r w:rsidRPr="000D4374">
        <w:rPr>
          <w:rFonts w:ascii="Verdana" w:hAnsi="Verdana"/>
          <w:sz w:val="20"/>
          <w:szCs w:val="20"/>
          <w:lang w:val="en-GB"/>
        </w:rPr>
        <w:t xml:space="preserve"> (</w:t>
      </w:r>
      <w:r>
        <w:rPr>
          <w:rFonts w:ascii="Verdana" w:hAnsi="Verdana"/>
          <w:sz w:val="20"/>
          <w:szCs w:val="20"/>
          <w:lang w:val="en-GB"/>
        </w:rPr>
        <w:t>“</w:t>
      </w:r>
      <w:r w:rsidRPr="000D4374">
        <w:rPr>
          <w:rFonts w:ascii="Verdana" w:hAnsi="Verdana"/>
          <w:sz w:val="20"/>
          <w:szCs w:val="20"/>
          <w:lang w:val="en-GB"/>
        </w:rPr>
        <w:t xml:space="preserve">Rules </w:t>
      </w:r>
      <w:r w:rsidR="00B16DD6">
        <w:rPr>
          <w:rFonts w:ascii="Verdana" w:hAnsi="Verdana"/>
          <w:sz w:val="20"/>
          <w:szCs w:val="20"/>
          <w:lang w:val="en-GB"/>
        </w:rPr>
        <w:t>of</w:t>
      </w:r>
      <w:r w:rsidRPr="000D4374">
        <w:rPr>
          <w:rFonts w:ascii="Verdana" w:hAnsi="Verdana"/>
          <w:sz w:val="20"/>
          <w:szCs w:val="20"/>
          <w:lang w:val="en-GB"/>
        </w:rPr>
        <w:t xml:space="preserve"> the programme of </w:t>
      </w:r>
      <w:r w:rsidR="00B16DD6" w:rsidRPr="000D4374">
        <w:rPr>
          <w:rFonts w:ascii="Verdana" w:hAnsi="Verdana"/>
          <w:sz w:val="20"/>
          <w:szCs w:val="20"/>
          <w:lang w:val="en-GB"/>
        </w:rPr>
        <w:t xml:space="preserve">reductions </w:t>
      </w:r>
      <w:r w:rsidR="00B16DD6">
        <w:rPr>
          <w:rFonts w:ascii="Verdana" w:hAnsi="Verdana"/>
          <w:sz w:val="20"/>
          <w:szCs w:val="20"/>
          <w:lang w:val="en-GB"/>
        </w:rPr>
        <w:t xml:space="preserve">of </w:t>
      </w:r>
      <w:r w:rsidRPr="000D4374">
        <w:rPr>
          <w:rFonts w:ascii="Verdana" w:hAnsi="Verdana"/>
          <w:sz w:val="20"/>
          <w:szCs w:val="20"/>
          <w:lang w:val="en-GB"/>
        </w:rPr>
        <w:t>exchange fee</w:t>
      </w:r>
      <w:r w:rsidR="00B16DD6">
        <w:rPr>
          <w:rFonts w:ascii="Verdana" w:hAnsi="Verdana"/>
          <w:sz w:val="20"/>
          <w:szCs w:val="20"/>
          <w:lang w:val="en-GB"/>
        </w:rPr>
        <w:t>s</w:t>
      </w:r>
      <w:r w:rsidRPr="000D4374">
        <w:rPr>
          <w:rFonts w:ascii="Verdana" w:hAnsi="Verdana"/>
          <w:sz w:val="20"/>
          <w:szCs w:val="20"/>
          <w:lang w:val="en-GB"/>
        </w:rPr>
        <w:t xml:space="preserve"> on ETF, ETC and ETN</w:t>
      </w:r>
      <w:r>
        <w:rPr>
          <w:rFonts w:ascii="Verdana" w:hAnsi="Verdana"/>
          <w:sz w:val="20"/>
          <w:szCs w:val="20"/>
          <w:lang w:val="en-GB"/>
        </w:rPr>
        <w:t xml:space="preserve"> trade</w:t>
      </w:r>
      <w:r w:rsidRPr="000D4374">
        <w:rPr>
          <w:rFonts w:ascii="Verdana" w:hAnsi="Verdana"/>
          <w:sz w:val="20"/>
          <w:szCs w:val="20"/>
          <w:lang w:val="en-GB"/>
        </w:rPr>
        <w:t xml:space="preserve"> on </w:t>
      </w:r>
      <w:r>
        <w:rPr>
          <w:rFonts w:ascii="Verdana" w:hAnsi="Verdana"/>
          <w:sz w:val="20"/>
          <w:szCs w:val="20"/>
          <w:lang w:val="en-GB"/>
        </w:rPr>
        <w:t>GPW”</w:t>
      </w:r>
      <w:r w:rsidRPr="000D4374">
        <w:rPr>
          <w:rFonts w:ascii="Verdana" w:hAnsi="Verdana"/>
          <w:sz w:val="20"/>
          <w:szCs w:val="20"/>
          <w:lang w:val="en-GB"/>
        </w:rPr>
        <w:t xml:space="preserve">), exchange members </w:t>
      </w:r>
      <w:r>
        <w:rPr>
          <w:rFonts w:ascii="Verdana" w:hAnsi="Verdana"/>
          <w:sz w:val="20"/>
          <w:szCs w:val="20"/>
          <w:lang w:val="en-GB"/>
        </w:rPr>
        <w:t>are hereby granted the</w:t>
      </w:r>
      <w:r w:rsidRPr="000D4374">
        <w:rPr>
          <w:rFonts w:ascii="Verdana" w:hAnsi="Verdana"/>
          <w:sz w:val="20"/>
          <w:szCs w:val="20"/>
          <w:lang w:val="en-GB"/>
        </w:rPr>
        <w:t xml:space="preserve"> right to </w:t>
      </w:r>
      <w:r>
        <w:rPr>
          <w:rFonts w:ascii="Verdana" w:hAnsi="Verdana"/>
          <w:sz w:val="20"/>
          <w:szCs w:val="20"/>
          <w:lang w:val="en-GB"/>
        </w:rPr>
        <w:t>use</w:t>
      </w:r>
      <w:r w:rsidRPr="000D4374">
        <w:rPr>
          <w:rFonts w:ascii="Verdana" w:hAnsi="Verdana"/>
          <w:sz w:val="20"/>
          <w:szCs w:val="20"/>
          <w:lang w:val="en-GB"/>
        </w:rPr>
        <w:t xml:space="preserve"> exchange fee</w:t>
      </w:r>
      <w:r>
        <w:rPr>
          <w:rFonts w:ascii="Verdana" w:hAnsi="Verdana"/>
          <w:sz w:val="20"/>
          <w:szCs w:val="20"/>
          <w:lang w:val="en-GB"/>
        </w:rPr>
        <w:t>s</w:t>
      </w:r>
      <w:r w:rsidRPr="000D4374">
        <w:rPr>
          <w:rFonts w:ascii="Verdana" w:hAnsi="Verdana"/>
          <w:sz w:val="20"/>
          <w:szCs w:val="20"/>
          <w:lang w:val="en-GB"/>
        </w:rPr>
        <w:t xml:space="preserve">, referred to in point 3.1.1 of </w:t>
      </w:r>
      <w:r>
        <w:rPr>
          <w:rFonts w:ascii="Verdana" w:hAnsi="Verdana"/>
          <w:sz w:val="20"/>
          <w:szCs w:val="20"/>
          <w:lang w:val="en-GB"/>
        </w:rPr>
        <w:t>Exhibit</w:t>
      </w:r>
      <w:r w:rsidRPr="000D4374">
        <w:rPr>
          <w:rFonts w:ascii="Verdana" w:hAnsi="Verdana"/>
          <w:sz w:val="20"/>
          <w:szCs w:val="20"/>
          <w:lang w:val="en-GB"/>
        </w:rPr>
        <w:t xml:space="preserve"> 1 to the Exchange Rules, reduced to zero on ETF</w:t>
      </w:r>
      <w:r>
        <w:rPr>
          <w:rFonts w:ascii="Verdana" w:hAnsi="Verdana"/>
          <w:sz w:val="20"/>
          <w:szCs w:val="20"/>
          <w:lang w:val="en-GB"/>
        </w:rPr>
        <w:t>,</w:t>
      </w:r>
      <w:r w:rsidRPr="000D4374">
        <w:rPr>
          <w:rFonts w:ascii="Verdana" w:hAnsi="Verdana"/>
          <w:sz w:val="20"/>
          <w:szCs w:val="20"/>
          <w:lang w:val="en-GB"/>
        </w:rPr>
        <w:t xml:space="preserve"> ETC and ETN</w:t>
      </w:r>
      <w:r>
        <w:rPr>
          <w:rFonts w:ascii="Verdana" w:hAnsi="Verdana"/>
          <w:sz w:val="20"/>
          <w:szCs w:val="20"/>
          <w:lang w:val="en-GB"/>
        </w:rPr>
        <w:t xml:space="preserve"> trade</w:t>
      </w:r>
      <w:r w:rsidRPr="000D4374">
        <w:rPr>
          <w:rFonts w:ascii="Verdana" w:hAnsi="Verdana"/>
          <w:sz w:val="20"/>
          <w:szCs w:val="20"/>
          <w:lang w:val="en-GB"/>
        </w:rPr>
        <w:t>.</w:t>
      </w:r>
    </w:p>
    <w:p w14:paraId="156271F7" w14:textId="2C2B13FB" w:rsidR="00B20FEF" w:rsidRPr="000D4374" w:rsidRDefault="00B20FEF" w:rsidP="00B20FEF">
      <w:pPr>
        <w:pStyle w:val="Akapitzlist"/>
        <w:spacing w:after="120" w:line="360" w:lineRule="auto"/>
        <w:ind w:left="0"/>
        <w:contextualSpacing w:val="0"/>
        <w:jc w:val="center"/>
        <w:rPr>
          <w:rFonts w:ascii="Verdana" w:hAnsi="Verdana" w:cs="Arial"/>
          <w:sz w:val="20"/>
          <w:szCs w:val="20"/>
          <w:lang w:val="en-GB"/>
        </w:rPr>
      </w:pPr>
      <w:r w:rsidRPr="000D4374">
        <w:rPr>
          <w:rFonts w:ascii="Verdana" w:hAnsi="Verdana" w:cs="Arial"/>
          <w:sz w:val="20"/>
          <w:szCs w:val="20"/>
          <w:lang w:val="en-GB"/>
        </w:rPr>
        <w:t>§ 2</w:t>
      </w:r>
    </w:p>
    <w:p w14:paraId="16250FD8" w14:textId="6C1ED076" w:rsidR="000D4374" w:rsidRPr="000D4374" w:rsidRDefault="000D4374" w:rsidP="00B20FEF">
      <w:pPr>
        <w:spacing w:after="240" w:line="360" w:lineRule="auto"/>
        <w:jc w:val="both"/>
        <w:rPr>
          <w:rFonts w:ascii="Verdana" w:hAnsi="Verdana" w:cs="Arial"/>
          <w:sz w:val="20"/>
          <w:szCs w:val="20"/>
          <w:lang w:val="en-GB"/>
        </w:rPr>
      </w:pPr>
      <w:r w:rsidRPr="000D4374">
        <w:rPr>
          <w:rFonts w:ascii="Verdana" w:hAnsi="Verdana" w:cs="Arial"/>
          <w:sz w:val="20"/>
          <w:szCs w:val="20"/>
          <w:lang w:val="en-GB"/>
        </w:rPr>
        <w:t xml:space="preserve">The right to participate in the promotional reduction </w:t>
      </w:r>
      <w:r>
        <w:rPr>
          <w:rFonts w:ascii="Verdana" w:hAnsi="Verdana" w:cs="Arial"/>
          <w:sz w:val="20"/>
          <w:szCs w:val="20"/>
          <w:lang w:val="en-GB"/>
        </w:rPr>
        <w:t xml:space="preserve">of </w:t>
      </w:r>
      <w:r w:rsidRPr="000D4374">
        <w:rPr>
          <w:rFonts w:ascii="Verdana" w:hAnsi="Verdana" w:cs="Arial"/>
          <w:sz w:val="20"/>
          <w:szCs w:val="20"/>
          <w:lang w:val="en-GB"/>
        </w:rPr>
        <w:t>exchange fee</w:t>
      </w:r>
      <w:r>
        <w:rPr>
          <w:rFonts w:ascii="Verdana" w:hAnsi="Verdana" w:cs="Arial"/>
          <w:sz w:val="20"/>
          <w:szCs w:val="20"/>
          <w:lang w:val="en-GB"/>
        </w:rPr>
        <w:t>s</w:t>
      </w:r>
      <w:r w:rsidRPr="000D4374">
        <w:rPr>
          <w:rFonts w:ascii="Verdana" w:hAnsi="Verdana" w:cs="Arial"/>
          <w:sz w:val="20"/>
          <w:szCs w:val="20"/>
          <w:lang w:val="en-GB"/>
        </w:rPr>
        <w:t xml:space="preserve"> referred to in § 1 shall be vested only in exchange members </w:t>
      </w:r>
      <w:r>
        <w:rPr>
          <w:rFonts w:ascii="Verdana" w:hAnsi="Verdana" w:cs="Arial"/>
          <w:sz w:val="20"/>
          <w:szCs w:val="20"/>
          <w:lang w:val="en-GB"/>
        </w:rPr>
        <w:t>who meet</w:t>
      </w:r>
      <w:r w:rsidRPr="000D4374">
        <w:rPr>
          <w:rFonts w:ascii="Verdana" w:hAnsi="Verdana" w:cs="Arial"/>
          <w:sz w:val="20"/>
          <w:szCs w:val="20"/>
          <w:lang w:val="en-GB"/>
        </w:rPr>
        <w:t xml:space="preserve"> the requirements set out in this resolution and the </w:t>
      </w:r>
      <w:r w:rsidR="00B16DD6">
        <w:rPr>
          <w:rFonts w:ascii="Verdana" w:hAnsi="Verdana"/>
          <w:sz w:val="20"/>
          <w:szCs w:val="20"/>
          <w:lang w:val="en-GB"/>
        </w:rPr>
        <w:t>“</w:t>
      </w:r>
      <w:r w:rsidR="00B16DD6" w:rsidRPr="000D4374">
        <w:rPr>
          <w:rFonts w:ascii="Verdana" w:hAnsi="Verdana"/>
          <w:sz w:val="20"/>
          <w:szCs w:val="20"/>
          <w:lang w:val="en-GB"/>
        </w:rPr>
        <w:t xml:space="preserve">Rules </w:t>
      </w:r>
      <w:r w:rsidR="00B16DD6">
        <w:rPr>
          <w:rFonts w:ascii="Verdana" w:hAnsi="Verdana"/>
          <w:sz w:val="20"/>
          <w:szCs w:val="20"/>
          <w:lang w:val="en-GB"/>
        </w:rPr>
        <w:t>of</w:t>
      </w:r>
      <w:r w:rsidR="00B16DD6" w:rsidRPr="000D4374">
        <w:rPr>
          <w:rFonts w:ascii="Verdana" w:hAnsi="Verdana"/>
          <w:sz w:val="20"/>
          <w:szCs w:val="20"/>
          <w:lang w:val="en-GB"/>
        </w:rPr>
        <w:t xml:space="preserve"> the programme of reductions </w:t>
      </w:r>
      <w:r w:rsidR="00B16DD6">
        <w:rPr>
          <w:rFonts w:ascii="Verdana" w:hAnsi="Verdana"/>
          <w:sz w:val="20"/>
          <w:szCs w:val="20"/>
          <w:lang w:val="en-GB"/>
        </w:rPr>
        <w:t xml:space="preserve">of </w:t>
      </w:r>
      <w:r w:rsidR="00B16DD6" w:rsidRPr="000D4374">
        <w:rPr>
          <w:rFonts w:ascii="Verdana" w:hAnsi="Verdana"/>
          <w:sz w:val="20"/>
          <w:szCs w:val="20"/>
          <w:lang w:val="en-GB"/>
        </w:rPr>
        <w:t>exchange fee</w:t>
      </w:r>
      <w:r w:rsidR="00B16DD6">
        <w:rPr>
          <w:rFonts w:ascii="Verdana" w:hAnsi="Verdana"/>
          <w:sz w:val="20"/>
          <w:szCs w:val="20"/>
          <w:lang w:val="en-GB"/>
        </w:rPr>
        <w:t>s</w:t>
      </w:r>
      <w:r w:rsidR="00B16DD6" w:rsidRPr="000D4374">
        <w:rPr>
          <w:rFonts w:ascii="Verdana" w:hAnsi="Verdana"/>
          <w:sz w:val="20"/>
          <w:szCs w:val="20"/>
          <w:lang w:val="en-GB"/>
        </w:rPr>
        <w:t xml:space="preserve"> on ETF, ETC and ETN</w:t>
      </w:r>
      <w:r w:rsidR="00B16DD6">
        <w:rPr>
          <w:rFonts w:ascii="Verdana" w:hAnsi="Verdana"/>
          <w:sz w:val="20"/>
          <w:szCs w:val="20"/>
          <w:lang w:val="en-GB"/>
        </w:rPr>
        <w:t xml:space="preserve"> trade</w:t>
      </w:r>
      <w:r w:rsidR="00B16DD6" w:rsidRPr="000D4374">
        <w:rPr>
          <w:rFonts w:ascii="Verdana" w:hAnsi="Verdana"/>
          <w:sz w:val="20"/>
          <w:szCs w:val="20"/>
          <w:lang w:val="en-GB"/>
        </w:rPr>
        <w:t xml:space="preserve"> on </w:t>
      </w:r>
      <w:r w:rsidR="00B16DD6">
        <w:rPr>
          <w:rFonts w:ascii="Verdana" w:hAnsi="Verdana"/>
          <w:sz w:val="20"/>
          <w:szCs w:val="20"/>
          <w:lang w:val="en-GB"/>
        </w:rPr>
        <w:t>GPW”</w:t>
      </w:r>
      <w:r w:rsidRPr="000D4374">
        <w:rPr>
          <w:rFonts w:ascii="Verdana" w:hAnsi="Verdana" w:cs="Arial"/>
          <w:sz w:val="20"/>
          <w:szCs w:val="20"/>
          <w:lang w:val="en-GB"/>
        </w:rPr>
        <w:t xml:space="preserve">, on terms and conditions and within limits set out therein, upon prior qualification of </w:t>
      </w:r>
      <w:r w:rsidR="00B16DD6">
        <w:rPr>
          <w:rFonts w:ascii="Verdana" w:hAnsi="Verdana" w:cs="Arial"/>
          <w:sz w:val="20"/>
          <w:szCs w:val="20"/>
          <w:lang w:val="en-GB"/>
        </w:rPr>
        <w:t>the</w:t>
      </w:r>
      <w:r w:rsidRPr="000D4374">
        <w:rPr>
          <w:rFonts w:ascii="Verdana" w:hAnsi="Verdana" w:cs="Arial"/>
          <w:sz w:val="20"/>
          <w:szCs w:val="20"/>
          <w:lang w:val="en-GB"/>
        </w:rPr>
        <w:t xml:space="preserve"> exchange member for participation in the programme, based on a decision of the Exchange Management Board or a decision of Exchange </w:t>
      </w:r>
      <w:r w:rsidR="00B16DD6">
        <w:rPr>
          <w:rFonts w:ascii="Verdana" w:hAnsi="Verdana" w:cs="Arial"/>
          <w:sz w:val="20"/>
          <w:szCs w:val="20"/>
          <w:lang w:val="en-GB"/>
        </w:rPr>
        <w:t>employees</w:t>
      </w:r>
      <w:r w:rsidRPr="000D4374">
        <w:rPr>
          <w:rFonts w:ascii="Verdana" w:hAnsi="Verdana" w:cs="Arial"/>
          <w:sz w:val="20"/>
          <w:szCs w:val="20"/>
          <w:lang w:val="en-GB"/>
        </w:rPr>
        <w:t xml:space="preserve"> authorised by the Exchange Management Board. The Exchange Management Board shall decide on </w:t>
      </w:r>
      <w:r w:rsidR="00C5645E">
        <w:rPr>
          <w:rFonts w:ascii="Verdana" w:hAnsi="Verdana" w:cs="Arial"/>
          <w:sz w:val="20"/>
          <w:szCs w:val="20"/>
          <w:lang w:val="en-GB"/>
        </w:rPr>
        <w:t xml:space="preserve">any </w:t>
      </w:r>
      <w:r w:rsidRPr="000D4374">
        <w:rPr>
          <w:rFonts w:ascii="Verdana" w:hAnsi="Verdana" w:cs="Arial"/>
          <w:sz w:val="20"/>
          <w:szCs w:val="20"/>
          <w:lang w:val="en-GB"/>
        </w:rPr>
        <w:t>refusal of qualification.</w:t>
      </w:r>
    </w:p>
    <w:p w14:paraId="26505C8C" w14:textId="203FFA84" w:rsidR="00B20FEF" w:rsidRPr="000D4374" w:rsidRDefault="00B20FEF" w:rsidP="00B20FEF">
      <w:pPr>
        <w:spacing w:after="120" w:line="360" w:lineRule="auto"/>
        <w:jc w:val="center"/>
        <w:rPr>
          <w:rFonts w:ascii="Verdana" w:hAnsi="Verdana" w:cs="Arial"/>
          <w:sz w:val="20"/>
          <w:szCs w:val="20"/>
          <w:lang w:val="en-GB"/>
        </w:rPr>
      </w:pPr>
      <w:r w:rsidRPr="000D4374">
        <w:rPr>
          <w:rFonts w:ascii="Verdana" w:hAnsi="Verdana" w:cs="Arial"/>
          <w:sz w:val="20"/>
          <w:szCs w:val="20"/>
          <w:lang w:val="en-GB"/>
        </w:rPr>
        <w:t>§ 3</w:t>
      </w:r>
    </w:p>
    <w:p w14:paraId="2DE43E0B" w14:textId="7535135E" w:rsidR="00B16DD6" w:rsidRPr="000D4374" w:rsidRDefault="00B16DD6" w:rsidP="00BE269F">
      <w:pPr>
        <w:spacing w:after="240" w:line="360" w:lineRule="auto"/>
        <w:jc w:val="both"/>
        <w:rPr>
          <w:rFonts w:ascii="Verdana" w:hAnsi="Verdana" w:cs="Arial"/>
          <w:sz w:val="20"/>
          <w:szCs w:val="20"/>
          <w:lang w:val="en-GB"/>
        </w:rPr>
      </w:pPr>
      <w:r w:rsidRPr="00B16DD6">
        <w:rPr>
          <w:rFonts w:ascii="Verdana" w:hAnsi="Verdana" w:cs="Arial"/>
          <w:sz w:val="20"/>
          <w:szCs w:val="20"/>
          <w:lang w:val="en-GB"/>
        </w:rPr>
        <w:t xml:space="preserve">The Exchange Management Board may decide to discontinue the </w:t>
      </w:r>
      <w:r>
        <w:rPr>
          <w:rFonts w:ascii="Verdana" w:hAnsi="Verdana" w:cs="Arial"/>
          <w:sz w:val="20"/>
          <w:szCs w:val="20"/>
          <w:lang w:val="en-GB"/>
        </w:rPr>
        <w:t>applicability</w:t>
      </w:r>
      <w:r w:rsidRPr="00B16DD6">
        <w:rPr>
          <w:rFonts w:ascii="Verdana" w:hAnsi="Verdana" w:cs="Arial"/>
          <w:sz w:val="20"/>
          <w:szCs w:val="20"/>
          <w:lang w:val="en-GB"/>
        </w:rPr>
        <w:t xml:space="preserve"> of the reduced exchange fee</w:t>
      </w:r>
      <w:r>
        <w:rPr>
          <w:rFonts w:ascii="Verdana" w:hAnsi="Verdana" w:cs="Arial"/>
          <w:sz w:val="20"/>
          <w:szCs w:val="20"/>
          <w:lang w:val="en-GB"/>
        </w:rPr>
        <w:t xml:space="preserve">s </w:t>
      </w:r>
      <w:r w:rsidRPr="00B16DD6">
        <w:rPr>
          <w:rFonts w:ascii="Verdana" w:hAnsi="Verdana" w:cs="Arial"/>
          <w:sz w:val="20"/>
          <w:szCs w:val="20"/>
          <w:lang w:val="en-GB"/>
        </w:rPr>
        <w:t xml:space="preserve">referred to in § 1 to </w:t>
      </w:r>
      <w:r>
        <w:rPr>
          <w:rFonts w:ascii="Verdana" w:hAnsi="Verdana" w:cs="Arial"/>
          <w:sz w:val="20"/>
          <w:szCs w:val="20"/>
          <w:lang w:val="en-GB"/>
        </w:rPr>
        <w:t>trade</w:t>
      </w:r>
      <w:r w:rsidRPr="00B16DD6">
        <w:rPr>
          <w:rFonts w:ascii="Verdana" w:hAnsi="Verdana" w:cs="Arial"/>
          <w:sz w:val="20"/>
          <w:szCs w:val="20"/>
          <w:lang w:val="en-GB"/>
        </w:rPr>
        <w:t xml:space="preserve"> by </w:t>
      </w:r>
      <w:r>
        <w:rPr>
          <w:rFonts w:ascii="Verdana" w:hAnsi="Verdana" w:cs="Arial"/>
          <w:sz w:val="20"/>
          <w:szCs w:val="20"/>
          <w:lang w:val="en-GB"/>
        </w:rPr>
        <w:t>an</w:t>
      </w:r>
      <w:r w:rsidRPr="00B16DD6">
        <w:rPr>
          <w:rFonts w:ascii="Verdana" w:hAnsi="Verdana" w:cs="Arial"/>
          <w:sz w:val="20"/>
          <w:szCs w:val="20"/>
          <w:lang w:val="en-GB"/>
        </w:rPr>
        <w:t xml:space="preserve"> exchange member in cases and on terms and conditions set out in this resolution and in the </w:t>
      </w:r>
      <w:r>
        <w:rPr>
          <w:rFonts w:ascii="Verdana" w:hAnsi="Verdana"/>
          <w:sz w:val="20"/>
          <w:szCs w:val="20"/>
          <w:lang w:val="en-GB"/>
        </w:rPr>
        <w:t>“</w:t>
      </w:r>
      <w:r w:rsidRPr="000D4374">
        <w:rPr>
          <w:rFonts w:ascii="Verdana" w:hAnsi="Verdana"/>
          <w:sz w:val="20"/>
          <w:szCs w:val="20"/>
          <w:lang w:val="en-GB"/>
        </w:rPr>
        <w:t xml:space="preserve">Rules </w:t>
      </w:r>
      <w:r>
        <w:rPr>
          <w:rFonts w:ascii="Verdana" w:hAnsi="Verdana"/>
          <w:sz w:val="20"/>
          <w:szCs w:val="20"/>
          <w:lang w:val="en-GB"/>
        </w:rPr>
        <w:t>of</w:t>
      </w:r>
      <w:r w:rsidRPr="000D4374">
        <w:rPr>
          <w:rFonts w:ascii="Verdana" w:hAnsi="Verdana"/>
          <w:sz w:val="20"/>
          <w:szCs w:val="20"/>
          <w:lang w:val="en-GB"/>
        </w:rPr>
        <w:t xml:space="preserve"> the programme of reductions </w:t>
      </w:r>
      <w:r>
        <w:rPr>
          <w:rFonts w:ascii="Verdana" w:hAnsi="Verdana"/>
          <w:sz w:val="20"/>
          <w:szCs w:val="20"/>
          <w:lang w:val="en-GB"/>
        </w:rPr>
        <w:t xml:space="preserve">of </w:t>
      </w:r>
      <w:r w:rsidRPr="000D4374">
        <w:rPr>
          <w:rFonts w:ascii="Verdana" w:hAnsi="Verdana"/>
          <w:sz w:val="20"/>
          <w:szCs w:val="20"/>
          <w:lang w:val="en-GB"/>
        </w:rPr>
        <w:t>exchange fee</w:t>
      </w:r>
      <w:r>
        <w:rPr>
          <w:rFonts w:ascii="Verdana" w:hAnsi="Verdana"/>
          <w:sz w:val="20"/>
          <w:szCs w:val="20"/>
          <w:lang w:val="en-GB"/>
        </w:rPr>
        <w:t>s</w:t>
      </w:r>
      <w:r w:rsidRPr="000D4374">
        <w:rPr>
          <w:rFonts w:ascii="Verdana" w:hAnsi="Verdana"/>
          <w:sz w:val="20"/>
          <w:szCs w:val="20"/>
          <w:lang w:val="en-GB"/>
        </w:rPr>
        <w:t xml:space="preserve"> on ETF, ETC and ETN</w:t>
      </w:r>
      <w:r>
        <w:rPr>
          <w:rFonts w:ascii="Verdana" w:hAnsi="Verdana"/>
          <w:sz w:val="20"/>
          <w:szCs w:val="20"/>
          <w:lang w:val="en-GB"/>
        </w:rPr>
        <w:t xml:space="preserve"> trade</w:t>
      </w:r>
      <w:r w:rsidRPr="000D4374">
        <w:rPr>
          <w:rFonts w:ascii="Verdana" w:hAnsi="Verdana"/>
          <w:sz w:val="20"/>
          <w:szCs w:val="20"/>
          <w:lang w:val="en-GB"/>
        </w:rPr>
        <w:t xml:space="preserve"> on </w:t>
      </w:r>
      <w:r>
        <w:rPr>
          <w:rFonts w:ascii="Verdana" w:hAnsi="Verdana"/>
          <w:sz w:val="20"/>
          <w:szCs w:val="20"/>
          <w:lang w:val="en-GB"/>
        </w:rPr>
        <w:t>GPW”</w:t>
      </w:r>
      <w:r w:rsidRPr="00B16DD6">
        <w:rPr>
          <w:rFonts w:ascii="Verdana" w:hAnsi="Verdana" w:cs="Arial"/>
          <w:sz w:val="20"/>
          <w:szCs w:val="20"/>
          <w:lang w:val="en-GB"/>
        </w:rPr>
        <w:t>, in particular in the event of discontinued fulfilment of the conditions for participation in the programme.</w:t>
      </w:r>
    </w:p>
    <w:p w14:paraId="5DF2E1A1" w14:textId="77777777" w:rsidR="00BE269F" w:rsidRPr="000D4374" w:rsidRDefault="00BE269F" w:rsidP="00B20FEF">
      <w:pPr>
        <w:spacing w:after="120" w:line="360" w:lineRule="auto"/>
        <w:jc w:val="center"/>
        <w:rPr>
          <w:rFonts w:ascii="Verdana" w:hAnsi="Verdana" w:cs="Arial"/>
          <w:sz w:val="20"/>
          <w:szCs w:val="20"/>
          <w:lang w:val="en-GB"/>
        </w:rPr>
      </w:pPr>
    </w:p>
    <w:p w14:paraId="67EF7DA0" w14:textId="77777777" w:rsidR="00BE269F" w:rsidRPr="000D4374" w:rsidRDefault="00BE269F" w:rsidP="00B20FEF">
      <w:pPr>
        <w:spacing w:after="120" w:line="360" w:lineRule="auto"/>
        <w:jc w:val="center"/>
        <w:rPr>
          <w:rFonts w:ascii="Verdana" w:hAnsi="Verdana" w:cs="Arial"/>
          <w:sz w:val="20"/>
          <w:szCs w:val="20"/>
          <w:lang w:val="en-GB"/>
        </w:rPr>
      </w:pPr>
    </w:p>
    <w:p w14:paraId="03A121BF" w14:textId="69B34B20" w:rsidR="00B20FEF" w:rsidRPr="000D4374" w:rsidRDefault="00B20FEF" w:rsidP="00B20FEF">
      <w:pPr>
        <w:spacing w:after="120" w:line="360" w:lineRule="auto"/>
        <w:jc w:val="center"/>
        <w:rPr>
          <w:rFonts w:ascii="Verdana" w:hAnsi="Verdana" w:cs="Arial"/>
          <w:sz w:val="20"/>
          <w:szCs w:val="20"/>
          <w:lang w:val="en-GB"/>
        </w:rPr>
      </w:pPr>
      <w:r w:rsidRPr="000D4374">
        <w:rPr>
          <w:rFonts w:ascii="Verdana" w:hAnsi="Verdana" w:cs="Arial"/>
          <w:sz w:val="20"/>
          <w:szCs w:val="20"/>
          <w:lang w:val="en-GB"/>
        </w:rPr>
        <w:t>§ 4</w:t>
      </w:r>
    </w:p>
    <w:p w14:paraId="6311DFB4" w14:textId="5AC9DA38" w:rsidR="00B16DD6" w:rsidRPr="000D4374" w:rsidRDefault="00B16DD6" w:rsidP="00B20FEF">
      <w:pPr>
        <w:spacing w:after="120" w:line="360" w:lineRule="auto"/>
        <w:jc w:val="both"/>
        <w:rPr>
          <w:rFonts w:ascii="Verdana" w:hAnsi="Verdana" w:cs="Arial"/>
          <w:sz w:val="20"/>
          <w:szCs w:val="20"/>
          <w:lang w:val="en-GB"/>
        </w:rPr>
      </w:pPr>
      <w:r w:rsidRPr="00B16DD6">
        <w:rPr>
          <w:rFonts w:ascii="Verdana" w:hAnsi="Verdana" w:cs="Arial"/>
          <w:sz w:val="20"/>
          <w:szCs w:val="20"/>
          <w:lang w:val="en-GB"/>
        </w:rPr>
        <w:t xml:space="preserve">Decisions of the Exchange Management Board or Exchange </w:t>
      </w:r>
      <w:r>
        <w:rPr>
          <w:rFonts w:ascii="Verdana" w:hAnsi="Verdana" w:cs="Arial"/>
          <w:sz w:val="20"/>
          <w:szCs w:val="20"/>
          <w:lang w:val="en-GB"/>
        </w:rPr>
        <w:t>employees</w:t>
      </w:r>
      <w:r w:rsidRPr="00B16DD6">
        <w:rPr>
          <w:rFonts w:ascii="Verdana" w:hAnsi="Verdana" w:cs="Arial"/>
          <w:sz w:val="20"/>
          <w:szCs w:val="20"/>
          <w:lang w:val="en-GB"/>
        </w:rPr>
        <w:t xml:space="preserve"> authorised by the Exchange Management Board </w:t>
      </w:r>
      <w:r>
        <w:rPr>
          <w:rFonts w:ascii="Verdana" w:hAnsi="Verdana" w:cs="Arial"/>
          <w:sz w:val="20"/>
          <w:szCs w:val="20"/>
          <w:lang w:val="en-GB"/>
        </w:rPr>
        <w:t>to the extent</w:t>
      </w:r>
      <w:r w:rsidRPr="00B16DD6">
        <w:rPr>
          <w:rFonts w:ascii="Verdana" w:hAnsi="Verdana" w:cs="Arial"/>
          <w:sz w:val="20"/>
          <w:szCs w:val="20"/>
          <w:lang w:val="en-GB"/>
        </w:rPr>
        <w:t xml:space="preserve"> </w:t>
      </w:r>
      <w:r>
        <w:rPr>
          <w:rFonts w:ascii="Verdana" w:hAnsi="Verdana" w:cs="Arial"/>
          <w:sz w:val="20"/>
          <w:szCs w:val="20"/>
          <w:lang w:val="en-GB"/>
        </w:rPr>
        <w:t>set out in</w:t>
      </w:r>
      <w:r w:rsidRPr="00B16DD6">
        <w:rPr>
          <w:rFonts w:ascii="Verdana" w:hAnsi="Verdana" w:cs="Arial"/>
          <w:sz w:val="20"/>
          <w:szCs w:val="20"/>
          <w:lang w:val="en-GB"/>
        </w:rPr>
        <w:t xml:space="preserve"> § 2 or § 3 shall be final and not subject to appeal.</w:t>
      </w:r>
    </w:p>
    <w:p w14:paraId="077C3723" w14:textId="3F98FCC8" w:rsidR="00B20FEF" w:rsidRPr="000D4374" w:rsidRDefault="00B20FEF" w:rsidP="00B20FEF">
      <w:pPr>
        <w:spacing w:after="120" w:line="360" w:lineRule="auto"/>
        <w:jc w:val="center"/>
        <w:rPr>
          <w:rFonts w:ascii="Verdana" w:hAnsi="Verdana" w:cs="Arial"/>
          <w:sz w:val="20"/>
          <w:szCs w:val="20"/>
          <w:lang w:val="en-GB"/>
        </w:rPr>
      </w:pPr>
      <w:r w:rsidRPr="000D4374">
        <w:rPr>
          <w:rFonts w:ascii="Verdana" w:hAnsi="Verdana" w:cs="Arial"/>
          <w:sz w:val="20"/>
          <w:szCs w:val="20"/>
          <w:lang w:val="en-GB"/>
        </w:rPr>
        <w:t>§ 5</w:t>
      </w:r>
    </w:p>
    <w:p w14:paraId="43C12746" w14:textId="6D0BD724" w:rsidR="00B16DD6" w:rsidRPr="000D4374" w:rsidRDefault="00B16DD6" w:rsidP="001600A7">
      <w:pPr>
        <w:pStyle w:val="Akapitzlist"/>
        <w:numPr>
          <w:ilvl w:val="0"/>
          <w:numId w:val="37"/>
        </w:numPr>
        <w:spacing w:after="120" w:line="360" w:lineRule="auto"/>
        <w:ind w:left="425" w:hanging="357"/>
        <w:contextualSpacing w:val="0"/>
        <w:jc w:val="both"/>
        <w:rPr>
          <w:rFonts w:ascii="Verdana" w:hAnsi="Verdana" w:cs="Arial"/>
          <w:sz w:val="20"/>
          <w:szCs w:val="20"/>
          <w:lang w:val="en-GB"/>
        </w:rPr>
      </w:pPr>
      <w:r w:rsidRPr="00B16DD6">
        <w:rPr>
          <w:rFonts w:ascii="Verdana" w:hAnsi="Verdana" w:cs="Arial"/>
          <w:sz w:val="20"/>
          <w:szCs w:val="20"/>
          <w:lang w:val="en-GB"/>
        </w:rPr>
        <w:t xml:space="preserve">To the extent arising from the application of the provisions of this Resolution and the </w:t>
      </w:r>
      <w:r>
        <w:rPr>
          <w:rFonts w:ascii="Verdana" w:hAnsi="Verdana"/>
          <w:sz w:val="20"/>
          <w:szCs w:val="20"/>
          <w:lang w:val="en-GB"/>
        </w:rPr>
        <w:t>“</w:t>
      </w:r>
      <w:r w:rsidRPr="000D4374">
        <w:rPr>
          <w:rFonts w:ascii="Verdana" w:hAnsi="Verdana"/>
          <w:sz w:val="20"/>
          <w:szCs w:val="20"/>
          <w:lang w:val="en-GB"/>
        </w:rPr>
        <w:t xml:space="preserve">Rules </w:t>
      </w:r>
      <w:r>
        <w:rPr>
          <w:rFonts w:ascii="Verdana" w:hAnsi="Verdana"/>
          <w:sz w:val="20"/>
          <w:szCs w:val="20"/>
          <w:lang w:val="en-GB"/>
        </w:rPr>
        <w:t>of</w:t>
      </w:r>
      <w:r w:rsidRPr="000D4374">
        <w:rPr>
          <w:rFonts w:ascii="Verdana" w:hAnsi="Verdana"/>
          <w:sz w:val="20"/>
          <w:szCs w:val="20"/>
          <w:lang w:val="en-GB"/>
        </w:rPr>
        <w:t xml:space="preserve"> the programme of reductions </w:t>
      </w:r>
      <w:r>
        <w:rPr>
          <w:rFonts w:ascii="Verdana" w:hAnsi="Verdana"/>
          <w:sz w:val="20"/>
          <w:szCs w:val="20"/>
          <w:lang w:val="en-GB"/>
        </w:rPr>
        <w:t xml:space="preserve">of </w:t>
      </w:r>
      <w:r w:rsidRPr="000D4374">
        <w:rPr>
          <w:rFonts w:ascii="Verdana" w:hAnsi="Verdana"/>
          <w:sz w:val="20"/>
          <w:szCs w:val="20"/>
          <w:lang w:val="en-GB"/>
        </w:rPr>
        <w:t>exchange fee</w:t>
      </w:r>
      <w:r>
        <w:rPr>
          <w:rFonts w:ascii="Verdana" w:hAnsi="Verdana"/>
          <w:sz w:val="20"/>
          <w:szCs w:val="20"/>
          <w:lang w:val="en-GB"/>
        </w:rPr>
        <w:t>s</w:t>
      </w:r>
      <w:r w:rsidRPr="000D4374">
        <w:rPr>
          <w:rFonts w:ascii="Verdana" w:hAnsi="Verdana"/>
          <w:sz w:val="20"/>
          <w:szCs w:val="20"/>
          <w:lang w:val="en-GB"/>
        </w:rPr>
        <w:t xml:space="preserve"> on ETF, ETC and ETN</w:t>
      </w:r>
      <w:r>
        <w:rPr>
          <w:rFonts w:ascii="Verdana" w:hAnsi="Verdana"/>
          <w:sz w:val="20"/>
          <w:szCs w:val="20"/>
          <w:lang w:val="en-GB"/>
        </w:rPr>
        <w:t xml:space="preserve"> trade</w:t>
      </w:r>
      <w:r w:rsidRPr="000D4374">
        <w:rPr>
          <w:rFonts w:ascii="Verdana" w:hAnsi="Verdana"/>
          <w:sz w:val="20"/>
          <w:szCs w:val="20"/>
          <w:lang w:val="en-GB"/>
        </w:rPr>
        <w:t xml:space="preserve"> on </w:t>
      </w:r>
      <w:r>
        <w:rPr>
          <w:rFonts w:ascii="Verdana" w:hAnsi="Verdana"/>
          <w:sz w:val="20"/>
          <w:szCs w:val="20"/>
          <w:lang w:val="en-GB"/>
        </w:rPr>
        <w:t>GPW”</w:t>
      </w:r>
      <w:r w:rsidRPr="00B16DD6">
        <w:rPr>
          <w:rFonts w:ascii="Verdana" w:hAnsi="Verdana" w:cs="Arial"/>
          <w:sz w:val="20"/>
          <w:szCs w:val="20"/>
          <w:lang w:val="en-GB"/>
        </w:rPr>
        <w:t>, the Exchange may take action to verify that a</w:t>
      </w:r>
      <w:r>
        <w:rPr>
          <w:rFonts w:ascii="Verdana" w:hAnsi="Verdana" w:cs="Arial"/>
          <w:sz w:val="20"/>
          <w:szCs w:val="20"/>
          <w:lang w:val="en-GB"/>
        </w:rPr>
        <w:t>n</w:t>
      </w:r>
      <w:r w:rsidRPr="00B16DD6">
        <w:rPr>
          <w:rFonts w:ascii="Verdana" w:hAnsi="Verdana" w:cs="Arial"/>
          <w:sz w:val="20"/>
          <w:szCs w:val="20"/>
          <w:lang w:val="en-GB"/>
        </w:rPr>
        <w:t xml:space="preserve"> entity meets the conditions for participation in the promotional reduction </w:t>
      </w:r>
      <w:r>
        <w:rPr>
          <w:rFonts w:ascii="Verdana" w:hAnsi="Verdana" w:cs="Arial"/>
          <w:sz w:val="20"/>
          <w:szCs w:val="20"/>
          <w:lang w:val="en-GB"/>
        </w:rPr>
        <w:t xml:space="preserve">of </w:t>
      </w:r>
      <w:r w:rsidRPr="00B16DD6">
        <w:rPr>
          <w:rFonts w:ascii="Verdana" w:hAnsi="Verdana" w:cs="Arial"/>
          <w:sz w:val="20"/>
          <w:szCs w:val="20"/>
          <w:lang w:val="en-GB"/>
        </w:rPr>
        <w:t>exchange fee</w:t>
      </w:r>
      <w:r>
        <w:rPr>
          <w:rFonts w:ascii="Verdana" w:hAnsi="Verdana" w:cs="Arial"/>
          <w:sz w:val="20"/>
          <w:szCs w:val="20"/>
          <w:lang w:val="en-GB"/>
        </w:rPr>
        <w:t>s</w:t>
      </w:r>
      <w:r w:rsidRPr="00B16DD6">
        <w:rPr>
          <w:rFonts w:ascii="Verdana" w:hAnsi="Verdana" w:cs="Arial"/>
          <w:sz w:val="20"/>
          <w:szCs w:val="20"/>
          <w:lang w:val="en-GB"/>
        </w:rPr>
        <w:t xml:space="preserve"> referred to in § 1 and </w:t>
      </w:r>
      <w:r>
        <w:rPr>
          <w:rFonts w:ascii="Verdana" w:hAnsi="Verdana" w:cs="Arial"/>
          <w:sz w:val="20"/>
          <w:szCs w:val="20"/>
          <w:lang w:val="en-GB"/>
        </w:rPr>
        <w:t xml:space="preserve">that it </w:t>
      </w:r>
      <w:r w:rsidRPr="00B16DD6">
        <w:rPr>
          <w:rFonts w:ascii="Verdana" w:hAnsi="Verdana" w:cs="Arial"/>
          <w:sz w:val="20"/>
          <w:szCs w:val="20"/>
          <w:lang w:val="en-GB"/>
        </w:rPr>
        <w:t xml:space="preserve">complies with the rules for participation in the programme set out in the </w:t>
      </w:r>
      <w:r>
        <w:rPr>
          <w:rFonts w:ascii="Verdana" w:hAnsi="Verdana"/>
          <w:sz w:val="20"/>
          <w:szCs w:val="20"/>
          <w:lang w:val="en-GB"/>
        </w:rPr>
        <w:t>“</w:t>
      </w:r>
      <w:r w:rsidRPr="000D4374">
        <w:rPr>
          <w:rFonts w:ascii="Verdana" w:hAnsi="Verdana"/>
          <w:sz w:val="20"/>
          <w:szCs w:val="20"/>
          <w:lang w:val="en-GB"/>
        </w:rPr>
        <w:t xml:space="preserve">Rules </w:t>
      </w:r>
      <w:r>
        <w:rPr>
          <w:rFonts w:ascii="Verdana" w:hAnsi="Verdana"/>
          <w:sz w:val="20"/>
          <w:szCs w:val="20"/>
          <w:lang w:val="en-GB"/>
        </w:rPr>
        <w:t>of</w:t>
      </w:r>
      <w:r w:rsidRPr="000D4374">
        <w:rPr>
          <w:rFonts w:ascii="Verdana" w:hAnsi="Verdana"/>
          <w:sz w:val="20"/>
          <w:szCs w:val="20"/>
          <w:lang w:val="en-GB"/>
        </w:rPr>
        <w:t xml:space="preserve"> the programme of reductions </w:t>
      </w:r>
      <w:r>
        <w:rPr>
          <w:rFonts w:ascii="Verdana" w:hAnsi="Verdana"/>
          <w:sz w:val="20"/>
          <w:szCs w:val="20"/>
          <w:lang w:val="en-GB"/>
        </w:rPr>
        <w:t xml:space="preserve">of </w:t>
      </w:r>
      <w:r w:rsidRPr="000D4374">
        <w:rPr>
          <w:rFonts w:ascii="Verdana" w:hAnsi="Verdana"/>
          <w:sz w:val="20"/>
          <w:szCs w:val="20"/>
          <w:lang w:val="en-GB"/>
        </w:rPr>
        <w:t>exchange fee</w:t>
      </w:r>
      <w:r>
        <w:rPr>
          <w:rFonts w:ascii="Verdana" w:hAnsi="Verdana"/>
          <w:sz w:val="20"/>
          <w:szCs w:val="20"/>
          <w:lang w:val="en-GB"/>
        </w:rPr>
        <w:t>s</w:t>
      </w:r>
      <w:r w:rsidRPr="000D4374">
        <w:rPr>
          <w:rFonts w:ascii="Verdana" w:hAnsi="Verdana"/>
          <w:sz w:val="20"/>
          <w:szCs w:val="20"/>
          <w:lang w:val="en-GB"/>
        </w:rPr>
        <w:t xml:space="preserve"> on ETF, ETC and ETN</w:t>
      </w:r>
      <w:r>
        <w:rPr>
          <w:rFonts w:ascii="Verdana" w:hAnsi="Verdana"/>
          <w:sz w:val="20"/>
          <w:szCs w:val="20"/>
          <w:lang w:val="en-GB"/>
        </w:rPr>
        <w:t xml:space="preserve"> trade</w:t>
      </w:r>
      <w:r w:rsidRPr="000D4374">
        <w:rPr>
          <w:rFonts w:ascii="Verdana" w:hAnsi="Verdana"/>
          <w:sz w:val="20"/>
          <w:szCs w:val="20"/>
          <w:lang w:val="en-GB"/>
        </w:rPr>
        <w:t xml:space="preserve"> on </w:t>
      </w:r>
      <w:r>
        <w:rPr>
          <w:rFonts w:ascii="Verdana" w:hAnsi="Verdana"/>
          <w:sz w:val="20"/>
          <w:szCs w:val="20"/>
          <w:lang w:val="en-GB"/>
        </w:rPr>
        <w:t>GPW”</w:t>
      </w:r>
      <w:r w:rsidRPr="00B16DD6">
        <w:rPr>
          <w:rFonts w:ascii="Verdana" w:hAnsi="Verdana" w:cs="Arial"/>
          <w:sz w:val="20"/>
          <w:szCs w:val="20"/>
          <w:lang w:val="en-GB"/>
        </w:rPr>
        <w:t>.</w:t>
      </w:r>
    </w:p>
    <w:p w14:paraId="12242C08" w14:textId="102FC712" w:rsidR="00B16DD6" w:rsidRPr="000D4374" w:rsidRDefault="00B16DD6" w:rsidP="008E38EA">
      <w:pPr>
        <w:pStyle w:val="Akapitzlist"/>
        <w:numPr>
          <w:ilvl w:val="0"/>
          <w:numId w:val="37"/>
        </w:numPr>
        <w:spacing w:after="240" w:line="360" w:lineRule="auto"/>
        <w:ind w:left="426"/>
        <w:jc w:val="both"/>
        <w:rPr>
          <w:rFonts w:ascii="Verdana" w:hAnsi="Verdana" w:cs="Arial"/>
          <w:sz w:val="20"/>
          <w:szCs w:val="20"/>
          <w:lang w:val="en-GB"/>
        </w:rPr>
      </w:pPr>
      <w:r w:rsidRPr="00B16DD6">
        <w:rPr>
          <w:rFonts w:ascii="Verdana" w:hAnsi="Verdana" w:cs="Arial"/>
          <w:sz w:val="20"/>
          <w:szCs w:val="20"/>
          <w:lang w:val="en-GB"/>
        </w:rPr>
        <w:t xml:space="preserve">For the purpose of performing the </w:t>
      </w:r>
      <w:r>
        <w:rPr>
          <w:rFonts w:ascii="Verdana" w:hAnsi="Verdana" w:cs="Arial"/>
          <w:sz w:val="20"/>
          <w:szCs w:val="20"/>
          <w:lang w:val="en-GB"/>
        </w:rPr>
        <w:t>actions</w:t>
      </w:r>
      <w:r w:rsidRPr="00B16DD6">
        <w:rPr>
          <w:rFonts w:ascii="Verdana" w:hAnsi="Verdana" w:cs="Arial"/>
          <w:sz w:val="20"/>
          <w:szCs w:val="20"/>
          <w:lang w:val="en-GB"/>
        </w:rPr>
        <w:t xml:space="preserve"> referred to in sub-paragraph 1, the Exchange Management Board or Exchange </w:t>
      </w:r>
      <w:r>
        <w:rPr>
          <w:rFonts w:ascii="Verdana" w:hAnsi="Verdana" w:cs="Arial"/>
          <w:sz w:val="20"/>
          <w:szCs w:val="20"/>
          <w:lang w:val="en-GB"/>
        </w:rPr>
        <w:t>employees</w:t>
      </w:r>
      <w:r w:rsidRPr="00B16DD6">
        <w:rPr>
          <w:rFonts w:ascii="Verdana" w:hAnsi="Verdana" w:cs="Arial"/>
          <w:sz w:val="20"/>
          <w:szCs w:val="20"/>
          <w:lang w:val="en-GB"/>
        </w:rPr>
        <w:t xml:space="preserve"> authorised by the Exchange Management Board may request in particular that exchange member</w:t>
      </w:r>
      <w:r>
        <w:rPr>
          <w:rFonts w:ascii="Verdana" w:hAnsi="Verdana" w:cs="Arial"/>
          <w:sz w:val="20"/>
          <w:szCs w:val="20"/>
          <w:lang w:val="en-GB"/>
        </w:rPr>
        <w:t>s</w:t>
      </w:r>
      <w:r w:rsidRPr="00B16DD6">
        <w:rPr>
          <w:rFonts w:ascii="Verdana" w:hAnsi="Verdana" w:cs="Arial"/>
          <w:sz w:val="20"/>
          <w:szCs w:val="20"/>
          <w:lang w:val="en-GB"/>
        </w:rPr>
        <w:t xml:space="preserve"> applying for the right to participate in the programme</w:t>
      </w:r>
      <w:r>
        <w:rPr>
          <w:rFonts w:ascii="Verdana" w:hAnsi="Verdana" w:cs="Arial"/>
          <w:sz w:val="20"/>
          <w:szCs w:val="20"/>
          <w:lang w:val="en-GB"/>
        </w:rPr>
        <w:t xml:space="preserve"> and </w:t>
      </w:r>
      <w:r w:rsidRPr="00B16DD6">
        <w:rPr>
          <w:rFonts w:ascii="Verdana" w:hAnsi="Verdana" w:cs="Arial"/>
          <w:sz w:val="20"/>
          <w:szCs w:val="20"/>
          <w:lang w:val="en-GB"/>
        </w:rPr>
        <w:t>entit</w:t>
      </w:r>
      <w:r>
        <w:rPr>
          <w:rFonts w:ascii="Verdana" w:hAnsi="Verdana" w:cs="Arial"/>
          <w:sz w:val="20"/>
          <w:szCs w:val="20"/>
          <w:lang w:val="en-GB"/>
        </w:rPr>
        <w:t>ies</w:t>
      </w:r>
      <w:r w:rsidRPr="00B16DD6">
        <w:rPr>
          <w:rFonts w:ascii="Verdana" w:hAnsi="Verdana" w:cs="Arial"/>
          <w:sz w:val="20"/>
          <w:szCs w:val="20"/>
          <w:lang w:val="en-GB"/>
        </w:rPr>
        <w:t xml:space="preserve"> to which such right has been granted provide certain information, clarifications or documents.</w:t>
      </w:r>
    </w:p>
    <w:p w14:paraId="16E96B33" w14:textId="6B43CBC2" w:rsidR="00B20FEF" w:rsidRPr="000D4374" w:rsidRDefault="00B20FEF" w:rsidP="00B20FEF">
      <w:pPr>
        <w:pStyle w:val="Zwykytekst"/>
        <w:spacing w:after="120" w:line="360" w:lineRule="auto"/>
        <w:jc w:val="center"/>
        <w:rPr>
          <w:rFonts w:ascii="Verdana" w:hAnsi="Verdana" w:cs="Arial"/>
          <w:sz w:val="20"/>
          <w:szCs w:val="20"/>
          <w:lang w:val="en-GB"/>
        </w:rPr>
      </w:pPr>
      <w:r w:rsidRPr="000D4374">
        <w:rPr>
          <w:rFonts w:ascii="Verdana" w:hAnsi="Verdana" w:cs="Arial"/>
          <w:sz w:val="20"/>
          <w:szCs w:val="20"/>
          <w:lang w:val="en-GB"/>
        </w:rPr>
        <w:t xml:space="preserve">§ </w:t>
      </w:r>
      <w:r w:rsidR="001600A7" w:rsidRPr="000D4374">
        <w:rPr>
          <w:rFonts w:ascii="Verdana" w:hAnsi="Verdana" w:cs="Arial"/>
          <w:sz w:val="20"/>
          <w:szCs w:val="20"/>
          <w:lang w:val="en-GB"/>
        </w:rPr>
        <w:t>6</w:t>
      </w:r>
    </w:p>
    <w:p w14:paraId="5342E9D8" w14:textId="3A7CB35D" w:rsidR="00B16DD6" w:rsidRPr="000D4374" w:rsidRDefault="00B16DD6" w:rsidP="00191A11">
      <w:pPr>
        <w:spacing w:after="240" w:line="360" w:lineRule="auto"/>
        <w:jc w:val="both"/>
        <w:rPr>
          <w:rFonts w:ascii="Verdana" w:hAnsi="Verdana" w:cs="Arial"/>
          <w:sz w:val="20"/>
          <w:szCs w:val="20"/>
          <w:lang w:val="en-GB"/>
        </w:rPr>
      </w:pPr>
      <w:r w:rsidRPr="00B16DD6">
        <w:rPr>
          <w:rFonts w:ascii="Verdana" w:hAnsi="Verdana" w:cs="Arial"/>
          <w:sz w:val="20"/>
          <w:szCs w:val="20"/>
          <w:lang w:val="en-GB"/>
        </w:rPr>
        <w:t>The reduced exchange fee</w:t>
      </w:r>
      <w:r>
        <w:rPr>
          <w:rFonts w:ascii="Verdana" w:hAnsi="Verdana" w:cs="Arial"/>
          <w:sz w:val="20"/>
          <w:szCs w:val="20"/>
          <w:lang w:val="en-GB"/>
        </w:rPr>
        <w:t>s</w:t>
      </w:r>
      <w:r w:rsidRPr="00B16DD6">
        <w:rPr>
          <w:rFonts w:ascii="Verdana" w:hAnsi="Verdana" w:cs="Arial"/>
          <w:sz w:val="20"/>
          <w:szCs w:val="20"/>
          <w:lang w:val="en-GB"/>
        </w:rPr>
        <w:t xml:space="preserve"> referred to in § 1 of this </w:t>
      </w:r>
      <w:r>
        <w:rPr>
          <w:rFonts w:ascii="Verdana" w:hAnsi="Verdana" w:cs="Arial"/>
          <w:sz w:val="20"/>
          <w:szCs w:val="20"/>
          <w:lang w:val="en-GB"/>
        </w:rPr>
        <w:t>r</w:t>
      </w:r>
      <w:r w:rsidRPr="00B16DD6">
        <w:rPr>
          <w:rFonts w:ascii="Verdana" w:hAnsi="Verdana" w:cs="Arial"/>
          <w:sz w:val="20"/>
          <w:szCs w:val="20"/>
          <w:lang w:val="en-GB"/>
        </w:rPr>
        <w:t xml:space="preserve">esolution may be applied starting </w:t>
      </w:r>
      <w:r>
        <w:rPr>
          <w:rFonts w:ascii="Verdana" w:hAnsi="Verdana" w:cs="Arial"/>
          <w:sz w:val="20"/>
          <w:szCs w:val="20"/>
          <w:lang w:val="en-GB"/>
        </w:rPr>
        <w:t>with trade</w:t>
      </w:r>
      <w:r w:rsidRPr="00B16DD6">
        <w:rPr>
          <w:rFonts w:ascii="Verdana" w:hAnsi="Verdana" w:cs="Arial"/>
          <w:sz w:val="20"/>
          <w:szCs w:val="20"/>
          <w:lang w:val="en-GB"/>
        </w:rPr>
        <w:t xml:space="preserve"> by eligible exchange members as of 1 January 2025.</w:t>
      </w:r>
    </w:p>
    <w:p w14:paraId="20068D88" w14:textId="34947C7E" w:rsidR="00B20FEF" w:rsidRPr="000D4374" w:rsidRDefault="00B20FEF" w:rsidP="00B20FEF">
      <w:pPr>
        <w:spacing w:after="120" w:line="360" w:lineRule="auto"/>
        <w:jc w:val="center"/>
        <w:rPr>
          <w:rFonts w:ascii="Verdana" w:hAnsi="Verdana" w:cs="Arial"/>
          <w:sz w:val="20"/>
          <w:szCs w:val="20"/>
          <w:lang w:val="en-GB"/>
        </w:rPr>
      </w:pPr>
      <w:r w:rsidRPr="000D4374">
        <w:rPr>
          <w:rFonts w:ascii="Verdana" w:hAnsi="Verdana" w:cs="Arial"/>
          <w:sz w:val="20"/>
          <w:szCs w:val="20"/>
          <w:lang w:val="en-GB"/>
        </w:rPr>
        <w:t xml:space="preserve">§ </w:t>
      </w:r>
      <w:r w:rsidR="001600A7" w:rsidRPr="000D4374">
        <w:rPr>
          <w:rFonts w:ascii="Verdana" w:hAnsi="Verdana" w:cs="Arial"/>
          <w:sz w:val="20"/>
          <w:szCs w:val="20"/>
          <w:lang w:val="en-GB"/>
        </w:rPr>
        <w:t>7</w:t>
      </w:r>
    </w:p>
    <w:p w14:paraId="0BD57956" w14:textId="6BB9019F" w:rsidR="00B16DD6" w:rsidRPr="000D4374" w:rsidRDefault="00B16DD6" w:rsidP="00C10982">
      <w:pPr>
        <w:pStyle w:val="Akapitzlist"/>
        <w:numPr>
          <w:ilvl w:val="0"/>
          <w:numId w:val="38"/>
        </w:numPr>
        <w:spacing w:after="120" w:line="360" w:lineRule="auto"/>
        <w:ind w:left="425" w:hanging="425"/>
        <w:contextualSpacing w:val="0"/>
        <w:jc w:val="both"/>
        <w:rPr>
          <w:rFonts w:ascii="Verdana" w:hAnsi="Verdana" w:cs="Arial"/>
          <w:sz w:val="20"/>
          <w:szCs w:val="20"/>
          <w:lang w:val="en-GB"/>
        </w:rPr>
      </w:pPr>
      <w:r w:rsidRPr="00B16DD6">
        <w:rPr>
          <w:rFonts w:ascii="Verdana" w:hAnsi="Verdana" w:cs="Arial"/>
          <w:sz w:val="20"/>
          <w:szCs w:val="20"/>
          <w:lang w:val="en-GB"/>
        </w:rPr>
        <w:t xml:space="preserve">This resolution shall enter into force on the date of its adoption and shall remain in force until 31 December 2025, unless the Exchange </w:t>
      </w:r>
      <w:r>
        <w:rPr>
          <w:rFonts w:ascii="Verdana" w:hAnsi="Verdana" w:cs="Arial"/>
          <w:sz w:val="20"/>
          <w:szCs w:val="20"/>
          <w:lang w:val="en-GB"/>
        </w:rPr>
        <w:t xml:space="preserve">Management </w:t>
      </w:r>
      <w:r w:rsidRPr="00B16DD6">
        <w:rPr>
          <w:rFonts w:ascii="Verdana" w:hAnsi="Verdana" w:cs="Arial"/>
          <w:sz w:val="20"/>
          <w:szCs w:val="20"/>
          <w:lang w:val="en-GB"/>
        </w:rPr>
        <w:t xml:space="preserve">Board decides to extend its </w:t>
      </w:r>
      <w:r w:rsidR="00FA0E2B">
        <w:rPr>
          <w:rFonts w:ascii="Verdana" w:hAnsi="Verdana" w:cs="Arial"/>
          <w:sz w:val="20"/>
          <w:szCs w:val="20"/>
          <w:lang w:val="en-GB"/>
        </w:rPr>
        <w:t>term</w:t>
      </w:r>
      <w:r w:rsidRPr="00B16DD6">
        <w:rPr>
          <w:rFonts w:ascii="Verdana" w:hAnsi="Verdana" w:cs="Arial"/>
          <w:sz w:val="20"/>
          <w:szCs w:val="20"/>
          <w:lang w:val="en-GB"/>
        </w:rPr>
        <w:t xml:space="preserve">, subject to </w:t>
      </w:r>
      <w:r>
        <w:rPr>
          <w:rFonts w:ascii="Verdana" w:hAnsi="Verdana" w:cs="Arial"/>
          <w:sz w:val="20"/>
          <w:szCs w:val="20"/>
          <w:lang w:val="en-GB"/>
        </w:rPr>
        <w:t>sub-</w:t>
      </w:r>
      <w:r w:rsidRPr="00B16DD6">
        <w:rPr>
          <w:rFonts w:ascii="Verdana" w:hAnsi="Verdana" w:cs="Arial"/>
          <w:sz w:val="20"/>
          <w:szCs w:val="20"/>
          <w:lang w:val="en-GB"/>
        </w:rPr>
        <w:t>paragraph 2.</w:t>
      </w:r>
    </w:p>
    <w:p w14:paraId="013DA279" w14:textId="57DD717B" w:rsidR="00B16DD6" w:rsidRPr="000D4374" w:rsidRDefault="00B16DD6" w:rsidP="00C10982">
      <w:pPr>
        <w:pStyle w:val="Akapitzlist"/>
        <w:numPr>
          <w:ilvl w:val="0"/>
          <w:numId w:val="38"/>
        </w:numPr>
        <w:spacing w:after="120" w:line="360" w:lineRule="auto"/>
        <w:ind w:left="425" w:hanging="425"/>
        <w:contextualSpacing w:val="0"/>
        <w:jc w:val="both"/>
        <w:rPr>
          <w:rFonts w:ascii="Verdana" w:hAnsi="Verdana" w:cs="Arial"/>
          <w:sz w:val="20"/>
          <w:szCs w:val="20"/>
          <w:lang w:val="en-GB"/>
        </w:rPr>
      </w:pPr>
      <w:r w:rsidRPr="00B16DD6">
        <w:rPr>
          <w:rFonts w:ascii="Verdana" w:hAnsi="Verdana" w:cs="Arial"/>
          <w:sz w:val="20"/>
          <w:szCs w:val="20"/>
          <w:lang w:val="en-GB"/>
        </w:rPr>
        <w:t xml:space="preserve">Exchange members may apply to participate in the programme, in accordance with the procedure and </w:t>
      </w:r>
      <w:r>
        <w:rPr>
          <w:rFonts w:ascii="Verdana" w:hAnsi="Verdana" w:cs="Arial"/>
          <w:sz w:val="20"/>
          <w:szCs w:val="20"/>
          <w:lang w:val="en-GB"/>
        </w:rPr>
        <w:t>on terms and conditions</w:t>
      </w:r>
      <w:r w:rsidRPr="00B16DD6">
        <w:rPr>
          <w:rFonts w:ascii="Verdana" w:hAnsi="Verdana" w:cs="Arial"/>
          <w:sz w:val="20"/>
          <w:szCs w:val="20"/>
          <w:lang w:val="en-GB"/>
        </w:rPr>
        <w:t xml:space="preserve"> set out in the </w:t>
      </w:r>
      <w:r>
        <w:rPr>
          <w:rFonts w:ascii="Verdana" w:hAnsi="Verdana"/>
          <w:sz w:val="20"/>
          <w:szCs w:val="20"/>
          <w:lang w:val="en-GB"/>
        </w:rPr>
        <w:t>“</w:t>
      </w:r>
      <w:r w:rsidRPr="000D4374">
        <w:rPr>
          <w:rFonts w:ascii="Verdana" w:hAnsi="Verdana"/>
          <w:sz w:val="20"/>
          <w:szCs w:val="20"/>
          <w:lang w:val="en-GB"/>
        </w:rPr>
        <w:t xml:space="preserve">Rules </w:t>
      </w:r>
      <w:r>
        <w:rPr>
          <w:rFonts w:ascii="Verdana" w:hAnsi="Verdana"/>
          <w:sz w:val="20"/>
          <w:szCs w:val="20"/>
          <w:lang w:val="en-GB"/>
        </w:rPr>
        <w:t>of</w:t>
      </w:r>
      <w:r w:rsidRPr="000D4374">
        <w:rPr>
          <w:rFonts w:ascii="Verdana" w:hAnsi="Verdana"/>
          <w:sz w:val="20"/>
          <w:szCs w:val="20"/>
          <w:lang w:val="en-GB"/>
        </w:rPr>
        <w:t xml:space="preserve"> the programme of reductions </w:t>
      </w:r>
      <w:r>
        <w:rPr>
          <w:rFonts w:ascii="Verdana" w:hAnsi="Verdana"/>
          <w:sz w:val="20"/>
          <w:szCs w:val="20"/>
          <w:lang w:val="en-GB"/>
        </w:rPr>
        <w:t xml:space="preserve">of </w:t>
      </w:r>
      <w:r w:rsidRPr="000D4374">
        <w:rPr>
          <w:rFonts w:ascii="Verdana" w:hAnsi="Verdana"/>
          <w:sz w:val="20"/>
          <w:szCs w:val="20"/>
          <w:lang w:val="en-GB"/>
        </w:rPr>
        <w:t>exchange fee</w:t>
      </w:r>
      <w:r>
        <w:rPr>
          <w:rFonts w:ascii="Verdana" w:hAnsi="Verdana"/>
          <w:sz w:val="20"/>
          <w:szCs w:val="20"/>
          <w:lang w:val="en-GB"/>
        </w:rPr>
        <w:t>s</w:t>
      </w:r>
      <w:r w:rsidRPr="000D4374">
        <w:rPr>
          <w:rFonts w:ascii="Verdana" w:hAnsi="Verdana"/>
          <w:sz w:val="20"/>
          <w:szCs w:val="20"/>
          <w:lang w:val="en-GB"/>
        </w:rPr>
        <w:t xml:space="preserve"> on ETF, ETC and ETN</w:t>
      </w:r>
      <w:r>
        <w:rPr>
          <w:rFonts w:ascii="Verdana" w:hAnsi="Verdana"/>
          <w:sz w:val="20"/>
          <w:szCs w:val="20"/>
          <w:lang w:val="en-GB"/>
        </w:rPr>
        <w:t xml:space="preserve"> trade</w:t>
      </w:r>
      <w:r w:rsidRPr="000D4374">
        <w:rPr>
          <w:rFonts w:ascii="Verdana" w:hAnsi="Verdana"/>
          <w:sz w:val="20"/>
          <w:szCs w:val="20"/>
          <w:lang w:val="en-GB"/>
        </w:rPr>
        <w:t xml:space="preserve"> on </w:t>
      </w:r>
      <w:r>
        <w:rPr>
          <w:rFonts w:ascii="Verdana" w:hAnsi="Verdana"/>
          <w:sz w:val="20"/>
          <w:szCs w:val="20"/>
          <w:lang w:val="en-GB"/>
        </w:rPr>
        <w:t>GPW”</w:t>
      </w:r>
      <w:r w:rsidRPr="00B16DD6">
        <w:rPr>
          <w:rFonts w:ascii="Verdana" w:hAnsi="Verdana" w:cs="Arial"/>
          <w:sz w:val="20"/>
          <w:szCs w:val="20"/>
          <w:lang w:val="en-GB"/>
        </w:rPr>
        <w:t xml:space="preserve">, starting </w:t>
      </w:r>
      <w:r w:rsidR="00C5645E">
        <w:rPr>
          <w:rFonts w:ascii="Verdana" w:hAnsi="Verdana" w:cs="Arial"/>
          <w:sz w:val="20"/>
          <w:szCs w:val="20"/>
          <w:lang w:val="en-GB"/>
        </w:rPr>
        <w:t>on</w:t>
      </w:r>
      <w:r w:rsidRPr="00B16DD6">
        <w:rPr>
          <w:rFonts w:ascii="Verdana" w:hAnsi="Verdana" w:cs="Arial"/>
          <w:sz w:val="20"/>
          <w:szCs w:val="20"/>
          <w:lang w:val="en-GB"/>
        </w:rPr>
        <w:t xml:space="preserve"> the day following the date of adoption of this resolution.</w:t>
      </w:r>
    </w:p>
    <w:p w14:paraId="42F099E1" w14:textId="2C19BF4B" w:rsidR="00A4789C" w:rsidRPr="000D4374" w:rsidRDefault="00A4789C">
      <w:pPr>
        <w:spacing w:after="0" w:line="240" w:lineRule="auto"/>
        <w:rPr>
          <w:rFonts w:ascii="Verdana" w:hAnsi="Verdana" w:cs="Arial"/>
          <w:sz w:val="20"/>
          <w:szCs w:val="20"/>
          <w:lang w:val="en-GB"/>
        </w:rPr>
      </w:pPr>
    </w:p>
    <w:sectPr w:rsidR="00A4789C" w:rsidRPr="000D4374" w:rsidSect="00A4789C"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701" w:bottom="156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77743" w14:textId="77777777" w:rsidR="009167E7" w:rsidRDefault="009167E7" w:rsidP="0086331F">
      <w:pPr>
        <w:spacing w:after="0" w:line="240" w:lineRule="auto"/>
      </w:pPr>
      <w:r>
        <w:separator/>
      </w:r>
    </w:p>
  </w:endnote>
  <w:endnote w:type="continuationSeparator" w:id="0">
    <w:p w14:paraId="5068A569" w14:textId="77777777" w:rsidR="009167E7" w:rsidRDefault="009167E7" w:rsidP="00863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9454937"/>
      <w:docPartObj>
        <w:docPartGallery w:val="Page Numbers (Bottom of Page)"/>
        <w:docPartUnique/>
      </w:docPartObj>
    </w:sdtPr>
    <w:sdtContent>
      <w:p w14:paraId="10EF2FCE" w14:textId="01D95A4E" w:rsidR="00A932A0" w:rsidRDefault="00A932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4A68AC" w14:textId="3C761E27" w:rsidR="00726330" w:rsidRDefault="0072633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624B4" w14:textId="77777777" w:rsidR="00726330" w:rsidRDefault="0041472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 wp14:anchorId="4FACA47C" wp14:editId="2D2F068F">
          <wp:simplePos x="0" y="0"/>
          <wp:positionH relativeFrom="column">
            <wp:posOffset>-826770</wp:posOffset>
          </wp:positionH>
          <wp:positionV relativeFrom="paragraph">
            <wp:posOffset>-459740</wp:posOffset>
          </wp:positionV>
          <wp:extent cx="7564755" cy="1068705"/>
          <wp:effectExtent l="0" t="0" r="0" b="0"/>
          <wp:wrapNone/>
          <wp:docPr id="2" name="Obraz 2" descr="papier firmowy nowe logo ogoln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apier firmowy nowe logo ogolny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EEC26" w14:textId="77777777" w:rsidR="009167E7" w:rsidRDefault="009167E7" w:rsidP="0086331F">
      <w:pPr>
        <w:spacing w:after="0" w:line="240" w:lineRule="auto"/>
      </w:pPr>
      <w:r>
        <w:separator/>
      </w:r>
    </w:p>
  </w:footnote>
  <w:footnote w:type="continuationSeparator" w:id="0">
    <w:p w14:paraId="1CCE4F6E" w14:textId="77777777" w:rsidR="009167E7" w:rsidRDefault="009167E7" w:rsidP="00863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5D814" w14:textId="744EED15" w:rsidR="00A4789C" w:rsidRDefault="0041472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 wp14:anchorId="6613B2F3" wp14:editId="1CC51468">
          <wp:simplePos x="0" y="0"/>
          <wp:positionH relativeFrom="column">
            <wp:posOffset>-835025</wp:posOffset>
          </wp:positionH>
          <wp:positionV relativeFrom="paragraph">
            <wp:posOffset>-447040</wp:posOffset>
          </wp:positionV>
          <wp:extent cx="7564755" cy="1068705"/>
          <wp:effectExtent l="0" t="0" r="0" b="0"/>
          <wp:wrapNone/>
          <wp:docPr id="1" name="Obraz 1" descr="papier firmowy nowe logo ogoln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apier firmowy nowe logo ogolny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755" cy="1068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621F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48D3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6E7D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EC86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149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E64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1CE8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F2FC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4F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FCDA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FC391A"/>
    <w:multiLevelType w:val="hybridMultilevel"/>
    <w:tmpl w:val="0A20BB2A"/>
    <w:lvl w:ilvl="0" w:tplc="67E2C5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086298"/>
    <w:multiLevelType w:val="hybridMultilevel"/>
    <w:tmpl w:val="9586B324"/>
    <w:lvl w:ilvl="0" w:tplc="6E3A0568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8B55C5"/>
    <w:multiLevelType w:val="hybridMultilevel"/>
    <w:tmpl w:val="B5CCD94C"/>
    <w:lvl w:ilvl="0" w:tplc="0CAED2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CBA4D5A">
      <w:start w:val="1"/>
      <w:numFmt w:val="decimal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46CEA"/>
    <w:multiLevelType w:val="hybridMultilevel"/>
    <w:tmpl w:val="8D66FD9A"/>
    <w:lvl w:ilvl="0" w:tplc="C2FCF5A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4" w15:restartNumberingAfterBreak="0">
    <w:nsid w:val="23C3193D"/>
    <w:multiLevelType w:val="multilevel"/>
    <w:tmpl w:val="21F64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>
      <w:start w:val="1"/>
      <w:numFmt w:val="lowerLetter"/>
      <w:lvlText w:val="%4)"/>
      <w:lvlJc w:val="left"/>
      <w:pPr>
        <w:ind w:left="2920" w:hanging="40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644B31"/>
    <w:multiLevelType w:val="hybridMultilevel"/>
    <w:tmpl w:val="B406C0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425E9"/>
    <w:multiLevelType w:val="hybridMultilevel"/>
    <w:tmpl w:val="526AF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E40EE"/>
    <w:multiLevelType w:val="hybridMultilevel"/>
    <w:tmpl w:val="CA2EDF82"/>
    <w:lvl w:ilvl="0" w:tplc="A6CA260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3B5E45D1"/>
    <w:multiLevelType w:val="hybridMultilevel"/>
    <w:tmpl w:val="522AA3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A2648"/>
    <w:multiLevelType w:val="hybridMultilevel"/>
    <w:tmpl w:val="F784150E"/>
    <w:lvl w:ilvl="0" w:tplc="1B6A002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120BB"/>
    <w:multiLevelType w:val="hybridMultilevel"/>
    <w:tmpl w:val="7216322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95A4634E">
      <w:start w:val="1"/>
      <w:numFmt w:val="decimal"/>
      <w:lvlText w:val="%2)"/>
      <w:lvlJc w:val="left"/>
      <w:pPr>
        <w:tabs>
          <w:tab w:val="num" w:pos="737"/>
        </w:tabs>
        <w:ind w:left="720" w:hanging="3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991754"/>
    <w:multiLevelType w:val="hybridMultilevel"/>
    <w:tmpl w:val="DA6E5CD6"/>
    <w:lvl w:ilvl="0" w:tplc="127A5944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C7F7C4C"/>
    <w:multiLevelType w:val="hybridMultilevel"/>
    <w:tmpl w:val="778CD006"/>
    <w:lvl w:ilvl="0" w:tplc="FFFFFFFF">
      <w:start w:val="1"/>
      <w:numFmt w:val="lowerLetter"/>
      <w:lvlText w:val="%1)"/>
      <w:lvlJc w:val="lef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04150017">
      <w:start w:val="1"/>
      <w:numFmt w:val="lowerLetter"/>
      <w:lvlText w:val="%4)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4D59173F"/>
    <w:multiLevelType w:val="hybridMultilevel"/>
    <w:tmpl w:val="7FC631D4"/>
    <w:lvl w:ilvl="0" w:tplc="6CAA1F4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4D362F"/>
    <w:multiLevelType w:val="hybridMultilevel"/>
    <w:tmpl w:val="0C961B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06E78"/>
    <w:multiLevelType w:val="hybridMultilevel"/>
    <w:tmpl w:val="69ECE168"/>
    <w:lvl w:ilvl="0" w:tplc="7666CBA0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6" w15:restartNumberingAfterBreak="0">
    <w:nsid w:val="53B459F1"/>
    <w:multiLevelType w:val="hybridMultilevel"/>
    <w:tmpl w:val="73F87EA0"/>
    <w:lvl w:ilvl="0" w:tplc="A2A2BE0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702E9"/>
    <w:multiLevelType w:val="hybridMultilevel"/>
    <w:tmpl w:val="AF2A7966"/>
    <w:lvl w:ilvl="0" w:tplc="80B646BA">
      <w:start w:val="1"/>
      <w:numFmt w:val="lowerLetter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8" w15:restartNumberingAfterBreak="0">
    <w:nsid w:val="54452BC7"/>
    <w:multiLevelType w:val="hybridMultilevel"/>
    <w:tmpl w:val="56546A98"/>
    <w:lvl w:ilvl="0" w:tplc="8A3ED27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A0E97"/>
    <w:multiLevelType w:val="hybridMultilevel"/>
    <w:tmpl w:val="EA681D9E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0" w15:restartNumberingAfterBreak="0">
    <w:nsid w:val="56485EB7"/>
    <w:multiLevelType w:val="hybridMultilevel"/>
    <w:tmpl w:val="812E23DC"/>
    <w:lvl w:ilvl="0" w:tplc="787812F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3542C3"/>
    <w:multiLevelType w:val="hybridMultilevel"/>
    <w:tmpl w:val="F3DE2324"/>
    <w:lvl w:ilvl="0" w:tplc="34B68DF8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0E13A6"/>
    <w:multiLevelType w:val="hybridMultilevel"/>
    <w:tmpl w:val="46D26A38"/>
    <w:lvl w:ilvl="0" w:tplc="04150017">
      <w:start w:val="1"/>
      <w:numFmt w:val="lowerLetter"/>
      <w:lvlText w:val="%1)"/>
      <w:lvlJc w:val="left"/>
      <w:pPr>
        <w:tabs>
          <w:tab w:val="num" w:pos="681"/>
        </w:tabs>
        <w:ind w:left="681" w:hanging="397"/>
      </w:pPr>
    </w:lvl>
    <w:lvl w:ilvl="1" w:tplc="04150019" w:tentative="1">
      <w:start w:val="1"/>
      <w:numFmt w:val="lowerLetter"/>
      <w:lvlText w:val="%2."/>
      <w:lvlJc w:val="left"/>
      <w:pPr>
        <w:ind w:left="1384" w:hanging="360"/>
      </w:pPr>
    </w:lvl>
    <w:lvl w:ilvl="2" w:tplc="0415001B" w:tentative="1">
      <w:start w:val="1"/>
      <w:numFmt w:val="lowerRoman"/>
      <w:lvlText w:val="%3."/>
      <w:lvlJc w:val="right"/>
      <w:pPr>
        <w:ind w:left="2104" w:hanging="180"/>
      </w:pPr>
    </w:lvl>
    <w:lvl w:ilvl="3" w:tplc="0415000F" w:tentative="1">
      <w:start w:val="1"/>
      <w:numFmt w:val="decimal"/>
      <w:lvlText w:val="%4."/>
      <w:lvlJc w:val="left"/>
      <w:pPr>
        <w:ind w:left="2824" w:hanging="360"/>
      </w:pPr>
    </w:lvl>
    <w:lvl w:ilvl="4" w:tplc="04150019" w:tentative="1">
      <w:start w:val="1"/>
      <w:numFmt w:val="lowerLetter"/>
      <w:lvlText w:val="%5."/>
      <w:lvlJc w:val="left"/>
      <w:pPr>
        <w:ind w:left="3544" w:hanging="360"/>
      </w:pPr>
    </w:lvl>
    <w:lvl w:ilvl="5" w:tplc="0415001B" w:tentative="1">
      <w:start w:val="1"/>
      <w:numFmt w:val="lowerRoman"/>
      <w:lvlText w:val="%6."/>
      <w:lvlJc w:val="right"/>
      <w:pPr>
        <w:ind w:left="4264" w:hanging="180"/>
      </w:pPr>
    </w:lvl>
    <w:lvl w:ilvl="6" w:tplc="0415000F" w:tentative="1">
      <w:start w:val="1"/>
      <w:numFmt w:val="decimal"/>
      <w:lvlText w:val="%7."/>
      <w:lvlJc w:val="left"/>
      <w:pPr>
        <w:ind w:left="4984" w:hanging="360"/>
      </w:pPr>
    </w:lvl>
    <w:lvl w:ilvl="7" w:tplc="04150019" w:tentative="1">
      <w:start w:val="1"/>
      <w:numFmt w:val="lowerLetter"/>
      <w:lvlText w:val="%8."/>
      <w:lvlJc w:val="left"/>
      <w:pPr>
        <w:ind w:left="5704" w:hanging="360"/>
      </w:pPr>
    </w:lvl>
    <w:lvl w:ilvl="8" w:tplc="0415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33" w15:restartNumberingAfterBreak="0">
    <w:nsid w:val="5F1621E0"/>
    <w:multiLevelType w:val="hybridMultilevel"/>
    <w:tmpl w:val="CAA820E0"/>
    <w:lvl w:ilvl="0" w:tplc="AACA92A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802FDA"/>
    <w:multiLevelType w:val="hybridMultilevel"/>
    <w:tmpl w:val="80C8F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7955B0"/>
    <w:multiLevelType w:val="hybridMultilevel"/>
    <w:tmpl w:val="39861BAE"/>
    <w:lvl w:ilvl="0" w:tplc="251AD32E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4A2803"/>
    <w:multiLevelType w:val="multilevel"/>
    <w:tmpl w:val="62BAD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EF1117"/>
    <w:multiLevelType w:val="multilevel"/>
    <w:tmpl w:val="8D52E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B893F42"/>
    <w:multiLevelType w:val="hybridMultilevel"/>
    <w:tmpl w:val="0526D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A5084D"/>
    <w:multiLevelType w:val="hybridMultilevel"/>
    <w:tmpl w:val="0CAED018"/>
    <w:lvl w:ilvl="0" w:tplc="6E9A8B9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894D16"/>
    <w:multiLevelType w:val="multilevel"/>
    <w:tmpl w:val="2EAC0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2C51FD"/>
    <w:multiLevelType w:val="hybridMultilevel"/>
    <w:tmpl w:val="1B46A3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1444D"/>
    <w:multiLevelType w:val="hybridMultilevel"/>
    <w:tmpl w:val="9CDAC7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3102041">
    <w:abstractNumId w:val="8"/>
  </w:num>
  <w:num w:numId="2" w16cid:durableId="1979601415">
    <w:abstractNumId w:val="3"/>
  </w:num>
  <w:num w:numId="3" w16cid:durableId="1737313156">
    <w:abstractNumId w:val="2"/>
  </w:num>
  <w:num w:numId="4" w16cid:durableId="1304891819">
    <w:abstractNumId w:val="1"/>
  </w:num>
  <w:num w:numId="5" w16cid:durableId="1234780291">
    <w:abstractNumId w:val="0"/>
  </w:num>
  <w:num w:numId="6" w16cid:durableId="717510480">
    <w:abstractNumId w:val="9"/>
  </w:num>
  <w:num w:numId="7" w16cid:durableId="1949121929">
    <w:abstractNumId w:val="7"/>
  </w:num>
  <w:num w:numId="8" w16cid:durableId="262081693">
    <w:abstractNumId w:val="6"/>
  </w:num>
  <w:num w:numId="9" w16cid:durableId="877476278">
    <w:abstractNumId w:val="5"/>
  </w:num>
  <w:num w:numId="10" w16cid:durableId="1777361656">
    <w:abstractNumId w:val="4"/>
  </w:num>
  <w:num w:numId="11" w16cid:durableId="116138356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54023616">
    <w:abstractNumId w:val="31"/>
  </w:num>
  <w:num w:numId="13" w16cid:durableId="1141001026">
    <w:abstractNumId w:val="34"/>
  </w:num>
  <w:num w:numId="14" w16cid:durableId="885413624">
    <w:abstractNumId w:val="32"/>
  </w:num>
  <w:num w:numId="15" w16cid:durableId="419909304">
    <w:abstractNumId w:val="42"/>
  </w:num>
  <w:num w:numId="16" w16cid:durableId="904730054">
    <w:abstractNumId w:val="18"/>
  </w:num>
  <w:num w:numId="17" w16cid:durableId="1694185569">
    <w:abstractNumId w:val="27"/>
  </w:num>
  <w:num w:numId="18" w16cid:durableId="2090618299">
    <w:abstractNumId w:val="24"/>
  </w:num>
  <w:num w:numId="19" w16cid:durableId="269700382">
    <w:abstractNumId w:val="25"/>
  </w:num>
  <w:num w:numId="20" w16cid:durableId="1294822608">
    <w:abstractNumId w:val="17"/>
  </w:num>
  <w:num w:numId="21" w16cid:durableId="173343602">
    <w:abstractNumId w:val="13"/>
  </w:num>
  <w:num w:numId="22" w16cid:durableId="9796022">
    <w:abstractNumId w:val="35"/>
  </w:num>
  <w:num w:numId="23" w16cid:durableId="2099254718">
    <w:abstractNumId w:val="33"/>
  </w:num>
  <w:num w:numId="24" w16cid:durableId="1552768593">
    <w:abstractNumId w:val="30"/>
  </w:num>
  <w:num w:numId="25" w16cid:durableId="518158994">
    <w:abstractNumId w:val="15"/>
  </w:num>
  <w:num w:numId="26" w16cid:durableId="2144957022">
    <w:abstractNumId w:val="12"/>
  </w:num>
  <w:num w:numId="27" w16cid:durableId="1420562149">
    <w:abstractNumId w:val="41"/>
  </w:num>
  <w:num w:numId="28" w16cid:durableId="638220430">
    <w:abstractNumId w:val="20"/>
  </w:num>
  <w:num w:numId="29" w16cid:durableId="1037894574">
    <w:abstractNumId w:val="39"/>
  </w:num>
  <w:num w:numId="30" w16cid:durableId="1392926166">
    <w:abstractNumId w:val="11"/>
  </w:num>
  <w:num w:numId="31" w16cid:durableId="887035840">
    <w:abstractNumId w:val="26"/>
  </w:num>
  <w:num w:numId="32" w16cid:durableId="1685326941">
    <w:abstractNumId w:val="19"/>
  </w:num>
  <w:num w:numId="33" w16cid:durableId="499930944">
    <w:abstractNumId w:val="23"/>
  </w:num>
  <w:num w:numId="34" w16cid:durableId="92021824">
    <w:abstractNumId w:val="16"/>
  </w:num>
  <w:num w:numId="35" w16cid:durableId="996497364">
    <w:abstractNumId w:val="28"/>
  </w:num>
  <w:num w:numId="36" w16cid:durableId="533277678">
    <w:abstractNumId w:val="21"/>
  </w:num>
  <w:num w:numId="37" w16cid:durableId="128474152">
    <w:abstractNumId w:val="10"/>
  </w:num>
  <w:num w:numId="38" w16cid:durableId="622074384">
    <w:abstractNumId w:val="38"/>
  </w:num>
  <w:num w:numId="39" w16cid:durableId="191192883">
    <w:abstractNumId w:val="36"/>
  </w:num>
  <w:num w:numId="40" w16cid:durableId="2037539930">
    <w:abstractNumId w:val="37"/>
  </w:num>
  <w:num w:numId="41" w16cid:durableId="675881125">
    <w:abstractNumId w:val="14"/>
  </w:num>
  <w:num w:numId="42" w16cid:durableId="7875666">
    <w:abstractNumId w:val="40"/>
  </w:num>
  <w:num w:numId="43" w16cid:durableId="225914948">
    <w:abstractNumId w:val="29"/>
  </w:num>
  <w:num w:numId="44" w16cid:durableId="153211026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E34"/>
    <w:rsid w:val="00003B34"/>
    <w:rsid w:val="00013F38"/>
    <w:rsid w:val="00021A76"/>
    <w:rsid w:val="00031401"/>
    <w:rsid w:val="00031D52"/>
    <w:rsid w:val="00036B84"/>
    <w:rsid w:val="00053CD6"/>
    <w:rsid w:val="00060631"/>
    <w:rsid w:val="00060E0E"/>
    <w:rsid w:val="00063CDC"/>
    <w:rsid w:val="00065EF6"/>
    <w:rsid w:val="000836B7"/>
    <w:rsid w:val="00085AE6"/>
    <w:rsid w:val="00086F93"/>
    <w:rsid w:val="00091DB2"/>
    <w:rsid w:val="00095A4D"/>
    <w:rsid w:val="000A625E"/>
    <w:rsid w:val="000C287F"/>
    <w:rsid w:val="000C456E"/>
    <w:rsid w:val="000D1033"/>
    <w:rsid w:val="000D4374"/>
    <w:rsid w:val="000E5B4E"/>
    <w:rsid w:val="000E6EDA"/>
    <w:rsid w:val="000E724B"/>
    <w:rsid w:val="000F119A"/>
    <w:rsid w:val="00112992"/>
    <w:rsid w:val="00112BA8"/>
    <w:rsid w:val="00126D4D"/>
    <w:rsid w:val="0014508C"/>
    <w:rsid w:val="00147200"/>
    <w:rsid w:val="001600A7"/>
    <w:rsid w:val="00160243"/>
    <w:rsid w:val="001733C0"/>
    <w:rsid w:val="001749D7"/>
    <w:rsid w:val="00187CF2"/>
    <w:rsid w:val="00191A11"/>
    <w:rsid w:val="0019596E"/>
    <w:rsid w:val="001978F9"/>
    <w:rsid w:val="001A6B57"/>
    <w:rsid w:val="001A6D4E"/>
    <w:rsid w:val="001A6D7A"/>
    <w:rsid w:val="001B38EE"/>
    <w:rsid w:val="001C6A53"/>
    <w:rsid w:val="001D33D8"/>
    <w:rsid w:val="001E2F62"/>
    <w:rsid w:val="00205E34"/>
    <w:rsid w:val="00205F9E"/>
    <w:rsid w:val="00207D68"/>
    <w:rsid w:val="002143F9"/>
    <w:rsid w:val="002243AA"/>
    <w:rsid w:val="00225ADD"/>
    <w:rsid w:val="002371FD"/>
    <w:rsid w:val="00237C75"/>
    <w:rsid w:val="002547DE"/>
    <w:rsid w:val="00267453"/>
    <w:rsid w:val="002776A3"/>
    <w:rsid w:val="00281911"/>
    <w:rsid w:val="00284CB6"/>
    <w:rsid w:val="00296868"/>
    <w:rsid w:val="00297051"/>
    <w:rsid w:val="002A416A"/>
    <w:rsid w:val="002A4F36"/>
    <w:rsid w:val="002B365F"/>
    <w:rsid w:val="002D4AC8"/>
    <w:rsid w:val="002E4242"/>
    <w:rsid w:val="002E48AD"/>
    <w:rsid w:val="003014D9"/>
    <w:rsid w:val="00301F61"/>
    <w:rsid w:val="00326E6D"/>
    <w:rsid w:val="00341A4F"/>
    <w:rsid w:val="00351514"/>
    <w:rsid w:val="00357A2C"/>
    <w:rsid w:val="00377A1F"/>
    <w:rsid w:val="00386017"/>
    <w:rsid w:val="003B7B31"/>
    <w:rsid w:val="003C10BA"/>
    <w:rsid w:val="003C7D30"/>
    <w:rsid w:val="003E4957"/>
    <w:rsid w:val="003F1C64"/>
    <w:rsid w:val="00405FA6"/>
    <w:rsid w:val="00410C28"/>
    <w:rsid w:val="004125A7"/>
    <w:rsid w:val="00413C74"/>
    <w:rsid w:val="00414720"/>
    <w:rsid w:val="00432FCB"/>
    <w:rsid w:val="00436B8E"/>
    <w:rsid w:val="00442962"/>
    <w:rsid w:val="00463BA1"/>
    <w:rsid w:val="00466CDA"/>
    <w:rsid w:val="004711AD"/>
    <w:rsid w:val="004776CA"/>
    <w:rsid w:val="00483BF4"/>
    <w:rsid w:val="004944AF"/>
    <w:rsid w:val="00496F3A"/>
    <w:rsid w:val="004A770F"/>
    <w:rsid w:val="004B6682"/>
    <w:rsid w:val="004F5876"/>
    <w:rsid w:val="005000A7"/>
    <w:rsid w:val="00505FD7"/>
    <w:rsid w:val="005129D3"/>
    <w:rsid w:val="00524DBC"/>
    <w:rsid w:val="00545672"/>
    <w:rsid w:val="00547E18"/>
    <w:rsid w:val="0055293F"/>
    <w:rsid w:val="00556749"/>
    <w:rsid w:val="005578BF"/>
    <w:rsid w:val="005650BF"/>
    <w:rsid w:val="00573C93"/>
    <w:rsid w:val="00574C95"/>
    <w:rsid w:val="00591386"/>
    <w:rsid w:val="005B285A"/>
    <w:rsid w:val="005C2589"/>
    <w:rsid w:val="005C42A9"/>
    <w:rsid w:val="005D2F5C"/>
    <w:rsid w:val="006076FB"/>
    <w:rsid w:val="00612198"/>
    <w:rsid w:val="0061588A"/>
    <w:rsid w:val="00625FB7"/>
    <w:rsid w:val="00630206"/>
    <w:rsid w:val="00634EB0"/>
    <w:rsid w:val="006355F5"/>
    <w:rsid w:val="00636842"/>
    <w:rsid w:val="00682ACC"/>
    <w:rsid w:val="00687022"/>
    <w:rsid w:val="00690AD4"/>
    <w:rsid w:val="006A3832"/>
    <w:rsid w:val="006B154B"/>
    <w:rsid w:val="006C1D5D"/>
    <w:rsid w:val="006C32D8"/>
    <w:rsid w:val="006C7173"/>
    <w:rsid w:val="006D3371"/>
    <w:rsid w:val="006D571E"/>
    <w:rsid w:val="006E7598"/>
    <w:rsid w:val="00710851"/>
    <w:rsid w:val="0071591F"/>
    <w:rsid w:val="00723C13"/>
    <w:rsid w:val="0072448C"/>
    <w:rsid w:val="00726330"/>
    <w:rsid w:val="007347DB"/>
    <w:rsid w:val="00737B07"/>
    <w:rsid w:val="00741C7D"/>
    <w:rsid w:val="00747883"/>
    <w:rsid w:val="00747ED2"/>
    <w:rsid w:val="007563FD"/>
    <w:rsid w:val="00763341"/>
    <w:rsid w:val="00765B79"/>
    <w:rsid w:val="00776516"/>
    <w:rsid w:val="007A2863"/>
    <w:rsid w:val="007A609C"/>
    <w:rsid w:val="007B77F5"/>
    <w:rsid w:val="007C4213"/>
    <w:rsid w:val="007C4D3F"/>
    <w:rsid w:val="007E522D"/>
    <w:rsid w:val="007E60D5"/>
    <w:rsid w:val="007E7961"/>
    <w:rsid w:val="0080731C"/>
    <w:rsid w:val="00815016"/>
    <w:rsid w:val="0081548E"/>
    <w:rsid w:val="0082107E"/>
    <w:rsid w:val="00823692"/>
    <w:rsid w:val="008475CE"/>
    <w:rsid w:val="00854EFC"/>
    <w:rsid w:val="0086331F"/>
    <w:rsid w:val="0087255C"/>
    <w:rsid w:val="008974A6"/>
    <w:rsid w:val="008B3ACD"/>
    <w:rsid w:val="008B63BC"/>
    <w:rsid w:val="008D16E3"/>
    <w:rsid w:val="008D4EC5"/>
    <w:rsid w:val="008E3547"/>
    <w:rsid w:val="008E38EA"/>
    <w:rsid w:val="008E4F68"/>
    <w:rsid w:val="008E5D5D"/>
    <w:rsid w:val="008F4276"/>
    <w:rsid w:val="008F681B"/>
    <w:rsid w:val="009024E0"/>
    <w:rsid w:val="00905F05"/>
    <w:rsid w:val="00916172"/>
    <w:rsid w:val="009167E7"/>
    <w:rsid w:val="009249AA"/>
    <w:rsid w:val="009343C4"/>
    <w:rsid w:val="009373BD"/>
    <w:rsid w:val="00967834"/>
    <w:rsid w:val="009720FE"/>
    <w:rsid w:val="00975FDB"/>
    <w:rsid w:val="00980958"/>
    <w:rsid w:val="00982467"/>
    <w:rsid w:val="00992442"/>
    <w:rsid w:val="009952EC"/>
    <w:rsid w:val="009956A2"/>
    <w:rsid w:val="009B49F2"/>
    <w:rsid w:val="009C2364"/>
    <w:rsid w:val="009C2B5C"/>
    <w:rsid w:val="009E3AB9"/>
    <w:rsid w:val="00A04CFC"/>
    <w:rsid w:val="00A13255"/>
    <w:rsid w:val="00A35E62"/>
    <w:rsid w:val="00A44597"/>
    <w:rsid w:val="00A4789C"/>
    <w:rsid w:val="00A64035"/>
    <w:rsid w:val="00A70022"/>
    <w:rsid w:val="00A73F10"/>
    <w:rsid w:val="00A76C89"/>
    <w:rsid w:val="00A80554"/>
    <w:rsid w:val="00A827F2"/>
    <w:rsid w:val="00A85B76"/>
    <w:rsid w:val="00A87B1C"/>
    <w:rsid w:val="00A932A0"/>
    <w:rsid w:val="00AA5946"/>
    <w:rsid w:val="00AC106F"/>
    <w:rsid w:val="00AC2DF1"/>
    <w:rsid w:val="00AC6043"/>
    <w:rsid w:val="00AE3246"/>
    <w:rsid w:val="00B10E3A"/>
    <w:rsid w:val="00B16DD6"/>
    <w:rsid w:val="00B20FEF"/>
    <w:rsid w:val="00B269FA"/>
    <w:rsid w:val="00B35E4C"/>
    <w:rsid w:val="00B37B00"/>
    <w:rsid w:val="00B4386F"/>
    <w:rsid w:val="00B451B6"/>
    <w:rsid w:val="00B50204"/>
    <w:rsid w:val="00B510A4"/>
    <w:rsid w:val="00B53C0B"/>
    <w:rsid w:val="00B60177"/>
    <w:rsid w:val="00B72AB8"/>
    <w:rsid w:val="00B80E79"/>
    <w:rsid w:val="00B94399"/>
    <w:rsid w:val="00B944C4"/>
    <w:rsid w:val="00B9738B"/>
    <w:rsid w:val="00BA4CF1"/>
    <w:rsid w:val="00BB08B9"/>
    <w:rsid w:val="00BB5278"/>
    <w:rsid w:val="00BD0E82"/>
    <w:rsid w:val="00BE2204"/>
    <w:rsid w:val="00BE269F"/>
    <w:rsid w:val="00BE3562"/>
    <w:rsid w:val="00BF4BD9"/>
    <w:rsid w:val="00C10982"/>
    <w:rsid w:val="00C12383"/>
    <w:rsid w:val="00C30820"/>
    <w:rsid w:val="00C317F8"/>
    <w:rsid w:val="00C437C8"/>
    <w:rsid w:val="00C50DC1"/>
    <w:rsid w:val="00C51B32"/>
    <w:rsid w:val="00C53075"/>
    <w:rsid w:val="00C5645E"/>
    <w:rsid w:val="00C60D5B"/>
    <w:rsid w:val="00C65573"/>
    <w:rsid w:val="00C7498A"/>
    <w:rsid w:val="00C758BF"/>
    <w:rsid w:val="00C75E6B"/>
    <w:rsid w:val="00CA0CEC"/>
    <w:rsid w:val="00CA5261"/>
    <w:rsid w:val="00CA5DF2"/>
    <w:rsid w:val="00CB2222"/>
    <w:rsid w:val="00CC3172"/>
    <w:rsid w:val="00CC54CE"/>
    <w:rsid w:val="00CC618C"/>
    <w:rsid w:val="00CE63F6"/>
    <w:rsid w:val="00CF1562"/>
    <w:rsid w:val="00CF2DA7"/>
    <w:rsid w:val="00CF46DF"/>
    <w:rsid w:val="00CF75FF"/>
    <w:rsid w:val="00D070CB"/>
    <w:rsid w:val="00D11BC9"/>
    <w:rsid w:val="00D17533"/>
    <w:rsid w:val="00D24425"/>
    <w:rsid w:val="00D41F9C"/>
    <w:rsid w:val="00D4710C"/>
    <w:rsid w:val="00D50728"/>
    <w:rsid w:val="00D522EF"/>
    <w:rsid w:val="00D60338"/>
    <w:rsid w:val="00D7612D"/>
    <w:rsid w:val="00D84534"/>
    <w:rsid w:val="00DA2D30"/>
    <w:rsid w:val="00DB41CE"/>
    <w:rsid w:val="00DB4952"/>
    <w:rsid w:val="00DB70B1"/>
    <w:rsid w:val="00DD6E0A"/>
    <w:rsid w:val="00DF142E"/>
    <w:rsid w:val="00E0565E"/>
    <w:rsid w:val="00E06663"/>
    <w:rsid w:val="00E12115"/>
    <w:rsid w:val="00E13838"/>
    <w:rsid w:val="00E16F21"/>
    <w:rsid w:val="00E17B54"/>
    <w:rsid w:val="00E370A9"/>
    <w:rsid w:val="00E647A1"/>
    <w:rsid w:val="00E7533D"/>
    <w:rsid w:val="00E81440"/>
    <w:rsid w:val="00E961A4"/>
    <w:rsid w:val="00EA1DDB"/>
    <w:rsid w:val="00EB3618"/>
    <w:rsid w:val="00EB4BF3"/>
    <w:rsid w:val="00EC0194"/>
    <w:rsid w:val="00EC31FF"/>
    <w:rsid w:val="00EC6284"/>
    <w:rsid w:val="00EF04F2"/>
    <w:rsid w:val="00EF17AC"/>
    <w:rsid w:val="00EF4E65"/>
    <w:rsid w:val="00EF52A7"/>
    <w:rsid w:val="00F01952"/>
    <w:rsid w:val="00F05817"/>
    <w:rsid w:val="00F12B86"/>
    <w:rsid w:val="00F14A6C"/>
    <w:rsid w:val="00F2301B"/>
    <w:rsid w:val="00F26AEC"/>
    <w:rsid w:val="00F36679"/>
    <w:rsid w:val="00F4690E"/>
    <w:rsid w:val="00F565FD"/>
    <w:rsid w:val="00F73FE1"/>
    <w:rsid w:val="00F9330D"/>
    <w:rsid w:val="00FA0E2B"/>
    <w:rsid w:val="00FB2D2E"/>
    <w:rsid w:val="00FB4C88"/>
    <w:rsid w:val="00FB5FD4"/>
    <w:rsid w:val="00FB70DA"/>
    <w:rsid w:val="00FC1A07"/>
    <w:rsid w:val="00FF2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B6ACBF"/>
  <w15:chartTrackingRefBased/>
  <w15:docId w15:val="{71E96A12-FB53-4147-B320-BD9E9D1A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E6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05E3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331F"/>
  </w:style>
  <w:style w:type="paragraph" w:styleId="Stopka">
    <w:name w:val="footer"/>
    <w:basedOn w:val="Normalny"/>
    <w:link w:val="StopkaZnak"/>
    <w:uiPriority w:val="99"/>
    <w:unhideWhenUsed/>
    <w:rsid w:val="008633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331F"/>
  </w:style>
  <w:style w:type="paragraph" w:styleId="Bezodstpw">
    <w:name w:val="No Spacing"/>
    <w:link w:val="BezodstpwZnak"/>
    <w:uiPriority w:val="1"/>
    <w:qFormat/>
    <w:rsid w:val="00C60D5B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C60D5B"/>
    <w:rPr>
      <w:rFonts w:eastAsia="Times New Roman"/>
      <w:sz w:val="22"/>
      <w:szCs w:val="22"/>
      <w:lang w:val="pl-PL" w:eastAsia="en-US" w:bidi="ar-SA"/>
    </w:rPr>
  </w:style>
  <w:style w:type="paragraph" w:styleId="Akapitzlist">
    <w:name w:val="List Paragraph"/>
    <w:basedOn w:val="Normalny"/>
    <w:uiPriority w:val="34"/>
    <w:qFormat/>
    <w:rsid w:val="00413C7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73BD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373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373BD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73BD"/>
    <w:rPr>
      <w:vertAlign w:val="superscript"/>
    </w:rPr>
  </w:style>
  <w:style w:type="paragraph" w:styleId="Poprawka">
    <w:name w:val="Revision"/>
    <w:hidden/>
    <w:uiPriority w:val="99"/>
    <w:semiHidden/>
    <w:rsid w:val="001A6D7A"/>
    <w:rPr>
      <w:sz w:val="22"/>
      <w:szCs w:val="22"/>
      <w:lang w:eastAsia="en-US"/>
    </w:rPr>
  </w:style>
  <w:style w:type="character" w:customStyle="1" w:styleId="ui-provider">
    <w:name w:val="ui-provider"/>
    <w:basedOn w:val="Domylnaczcionkaakapitu"/>
    <w:rsid w:val="00D84534"/>
  </w:style>
  <w:style w:type="paragraph" w:styleId="Tekstkomentarza">
    <w:name w:val="annotation text"/>
    <w:basedOn w:val="Normalny"/>
    <w:link w:val="TekstkomentarzaZnak"/>
    <w:uiPriority w:val="99"/>
    <w:unhideWhenUsed/>
    <w:rsid w:val="008F681B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681B"/>
    <w:rPr>
      <w:rFonts w:asciiTheme="minorHAnsi" w:eastAsiaTheme="minorHAnsi" w:hAnsiTheme="minorHAnsi" w:cstheme="minorBidi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20FEF"/>
    <w:pPr>
      <w:spacing w:after="0" w:line="240" w:lineRule="auto"/>
    </w:pPr>
    <w:rPr>
      <w:rFonts w:ascii="Consolas" w:hAnsi="Consolas" w:cs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20FEF"/>
    <w:rPr>
      <w:rFonts w:ascii="Consolas" w:hAnsi="Consolas" w:cs="Consolas"/>
      <w:sz w:val="21"/>
      <w:szCs w:val="2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0FEF"/>
    <w:pPr>
      <w:spacing w:after="200"/>
    </w:pPr>
    <w:rPr>
      <w:rFonts w:ascii="Calibri" w:eastAsia="Calibri" w:hAnsi="Calibri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0FEF"/>
    <w:rPr>
      <w:rFonts w:asciiTheme="minorHAnsi" w:eastAsiaTheme="minorHAnsi" w:hAnsiTheme="minorHAnsi" w:cstheme="minorBidi"/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A478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1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9263484a-4811-448b-b935-4ccfcdbbdeea" origin="userSelected">
  <element uid="697367d0-0d11-4d4e-80a2-256155fcabe6" value=""/>
  <element uid="d9569de3-fae5-4e2d-a5c1-e0a5a3c84173" value=""/>
</sisl>
</file>

<file path=customXml/itemProps1.xml><?xml version="1.0" encoding="utf-8"?>
<ds:datastoreItem xmlns:ds="http://schemas.openxmlformats.org/officeDocument/2006/customXml" ds:itemID="{36F11BBA-79C8-4DB5-BAA8-D49FEE0033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522B7D-B783-48C8-AEF3-2836462D016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503</Words>
  <Characters>3018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>#Kategoria: [Wewnętrzne/Nie zawiera danych osobowych]# </cp:keywords>
  <cp:lastModifiedBy>Leszczyńska-Toboła Jolanta</cp:lastModifiedBy>
  <cp:revision>8</cp:revision>
  <cp:lastPrinted>2024-12-10T11:24:00Z</cp:lastPrinted>
  <dcterms:created xsi:type="dcterms:W3CDTF">2024-12-17T11:42:00Z</dcterms:created>
  <dcterms:modified xsi:type="dcterms:W3CDTF">2024-12-20T12:11:00Z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9a7fd4e4-69ce-43a7-907c-a3bd2117b651</vt:lpwstr>
  </property>
  <property fmtid="{D5CDD505-2E9C-101B-9397-08002B2CF9AE}" pid="3" name="bjSaver">
    <vt:lpwstr>ZOGfo1PWMM6/dm8R5Xm6dVwZqA9RLTwF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policy="9263484a-4811-448b-b935-4ccfcdbbdeea" origin="userSelected" xmlns="http://www.boldonj</vt:lpwstr>
  </property>
  <property fmtid="{D5CDD505-2E9C-101B-9397-08002B2CF9AE}" pid="5" name="bjDocumentLabelXML-0">
    <vt:lpwstr>ames.com/2008/01/sie/internal/label"&gt;&lt;element uid="697367d0-0d11-4d4e-80a2-256155fcabe6" value="" /&gt;&lt;element uid="d9569de3-fae5-4e2d-a5c1-e0a5a3c84173" value="" /&gt;&lt;/sisl&gt;</vt:lpwstr>
  </property>
  <property fmtid="{D5CDD505-2E9C-101B-9397-08002B2CF9AE}" pid="6" name="bjDocumentSecurityLabel">
    <vt:lpwstr>Kategoria: Wewnętrzne/Nie zawiera danych osobowych</vt:lpwstr>
  </property>
</Properties>
</file>