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60FB1" w14:textId="73FBED2F" w:rsidR="00406FA2" w:rsidRPr="00421B8D" w:rsidRDefault="00421B8D" w:rsidP="00BC3D06">
      <w:pPr>
        <w:spacing w:after="0" w:line="276" w:lineRule="auto"/>
        <w:jc w:val="both"/>
        <w:outlineLvl w:val="1"/>
        <w:rPr>
          <w:rFonts w:ascii="Verdana" w:eastAsia="Times New Roman" w:hAnsi="Verdana" w:cs="Times New Roman"/>
          <w:sz w:val="18"/>
          <w:szCs w:val="18"/>
          <w:lang w:val="en-GB" w:eastAsia="pl-PL"/>
        </w:rPr>
      </w:pPr>
      <w:bookmarkStart w:id="0" w:name="_Hlk184643043"/>
      <w:r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>Appendix to Resolution No.</w:t>
      </w:r>
      <w:r w:rsidR="00406FA2"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 xml:space="preserve"> </w:t>
      </w:r>
      <w:r w:rsidR="00AD5C0B"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>1630</w:t>
      </w:r>
      <w:r w:rsidR="00406FA2"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>/2024</w:t>
      </w:r>
    </w:p>
    <w:p w14:paraId="225E700D" w14:textId="5A70C68F" w:rsidR="00406FA2" w:rsidRPr="00421B8D" w:rsidRDefault="00421B8D" w:rsidP="00BC3D06">
      <w:pPr>
        <w:spacing w:after="0" w:line="276" w:lineRule="auto"/>
        <w:jc w:val="both"/>
        <w:outlineLvl w:val="1"/>
        <w:rPr>
          <w:rFonts w:ascii="Verdana" w:eastAsia="Times New Roman" w:hAnsi="Verdana" w:cs="Times New Roman"/>
          <w:sz w:val="18"/>
          <w:szCs w:val="18"/>
          <w:lang w:val="en-GB" w:eastAsia="pl-PL"/>
        </w:rPr>
      </w:pPr>
      <w:r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>of the Warsaw Stock Exchange Management Board</w:t>
      </w:r>
    </w:p>
    <w:p w14:paraId="1C7AD314" w14:textId="11369C30" w:rsidR="00406FA2" w:rsidRPr="00421B8D" w:rsidRDefault="00421B8D" w:rsidP="00BC3D06">
      <w:pPr>
        <w:spacing w:after="0" w:line="276" w:lineRule="auto"/>
        <w:jc w:val="both"/>
        <w:outlineLvl w:val="1"/>
        <w:rPr>
          <w:rFonts w:ascii="Verdana" w:eastAsia="Times New Roman" w:hAnsi="Verdana" w:cs="Times New Roman"/>
          <w:sz w:val="18"/>
          <w:szCs w:val="18"/>
          <w:lang w:val="en-GB" w:eastAsia="pl-PL"/>
        </w:rPr>
      </w:pPr>
      <w:r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>dated 16 December</w:t>
      </w:r>
      <w:r w:rsidR="00406FA2" w:rsidRPr="00421B8D">
        <w:rPr>
          <w:rFonts w:ascii="Verdana" w:eastAsia="Times New Roman" w:hAnsi="Verdana" w:cs="Times New Roman"/>
          <w:sz w:val="18"/>
          <w:szCs w:val="18"/>
          <w:lang w:val="en-GB" w:eastAsia="pl-PL"/>
        </w:rPr>
        <w:t xml:space="preserve"> 2024 </w:t>
      </w:r>
    </w:p>
    <w:p w14:paraId="2C297313" w14:textId="4E4E59B3" w:rsidR="00406FA2" w:rsidRPr="00421B8D" w:rsidRDefault="00406FA2" w:rsidP="00BE6A9A">
      <w:pPr>
        <w:spacing w:before="100" w:beforeAutospacing="1" w:after="120" w:line="36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</w:pPr>
    </w:p>
    <w:p w14:paraId="550244B4" w14:textId="4A00B1AB" w:rsidR="00421B8D" w:rsidRPr="00421B8D" w:rsidRDefault="00421B8D" w:rsidP="00421B8D">
      <w:pPr>
        <w:spacing w:before="100" w:beforeAutospacing="1" w:after="480" w:line="360" w:lineRule="auto"/>
        <w:jc w:val="center"/>
        <w:outlineLvl w:val="1"/>
        <w:rPr>
          <w:rFonts w:ascii="Verdana" w:eastAsia="Times New Roman" w:hAnsi="Verdana" w:cs="Times New Roman"/>
          <w:b/>
          <w:bCs/>
          <w:sz w:val="24"/>
          <w:szCs w:val="24"/>
          <w:lang w:val="en-GB" w:eastAsia="pl-PL"/>
        </w:rPr>
      </w:pPr>
      <w:bookmarkStart w:id="1" w:name="_Hlk184042037"/>
      <w:bookmarkStart w:id="2" w:name="_Hlk184405852"/>
      <w:bookmarkStart w:id="3" w:name="_Hlk184406880"/>
      <w:r w:rsidRPr="00421B8D">
        <w:rPr>
          <w:rFonts w:ascii="Verdana" w:eastAsia="Times New Roman" w:hAnsi="Verdana" w:cs="Times New Roman"/>
          <w:b/>
          <w:bCs/>
          <w:sz w:val="24"/>
          <w:szCs w:val="24"/>
          <w:lang w:val="en-GB" w:eastAsia="pl-PL"/>
        </w:rPr>
        <w:t>Rules of the programme of reductions of exchange fees</w:t>
      </w:r>
      <w:r w:rsidR="00BC3D06" w:rsidRPr="00421B8D">
        <w:rPr>
          <w:rFonts w:ascii="Verdana" w:eastAsia="Times New Roman" w:hAnsi="Verdana" w:cs="Times New Roman"/>
          <w:b/>
          <w:bCs/>
          <w:sz w:val="24"/>
          <w:szCs w:val="24"/>
          <w:lang w:val="en-GB" w:eastAsia="pl-PL"/>
        </w:rPr>
        <w:br/>
      </w:r>
      <w:bookmarkEnd w:id="1"/>
      <w:bookmarkEnd w:id="2"/>
      <w:r w:rsidRPr="00421B8D">
        <w:rPr>
          <w:rFonts w:ascii="Verdana" w:eastAsia="Times New Roman" w:hAnsi="Verdana" w:cs="Times New Roman"/>
          <w:b/>
          <w:bCs/>
          <w:sz w:val="24"/>
          <w:szCs w:val="24"/>
          <w:lang w:val="en-GB" w:eastAsia="pl-PL"/>
        </w:rPr>
        <w:t>on ETF, ETC and ETN trade on GPW</w:t>
      </w:r>
    </w:p>
    <w:bookmarkEnd w:id="3"/>
    <w:p w14:paraId="475E64B5" w14:textId="5F4E474B" w:rsidR="00DF412D" w:rsidRPr="00421B8D" w:rsidRDefault="00DF412D" w:rsidP="00BE6A9A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BE6A9A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="00D83ED2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1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. </w:t>
      </w:r>
      <w:r w:rsid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Definitions</w:t>
      </w:r>
    </w:p>
    <w:p w14:paraId="5D789DBB" w14:textId="3149F727" w:rsidR="00421B8D" w:rsidRPr="00421B8D" w:rsidRDefault="00421B8D" w:rsidP="005E40EF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Programme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- a programme of reductions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of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exchange fee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on ETF, ETC and ETN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trade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organised by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pursuant to these Rules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and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the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resolution of the Exchange Management Board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establishing the Programme,</w:t>
      </w:r>
    </w:p>
    <w:p w14:paraId="0B4A60EE" w14:textId="3095616A" w:rsidR="00DF412D" w:rsidRPr="00E6563B" w:rsidRDefault="00DF412D" w:rsidP="00BE6A9A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6563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G</w:t>
      </w:r>
      <w:r w:rsidR="003C204B" w:rsidRPr="00E6563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PW</w:t>
      </w:r>
      <w:r w:rsidR="005743C9" w:rsidRPr="00E6563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, </w:t>
      </w:r>
      <w:r w:rsidR="00421B8D" w:rsidRPr="00E6563B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Exchange</w:t>
      </w:r>
      <w:r w:rsidRPr="00E656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</w:t>
      </w:r>
      <w:r w:rsidR="00492C45" w:rsidRPr="00E656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421B8D" w:rsidRPr="00E6563B">
        <w:rPr>
          <w:rFonts w:ascii="Verdana" w:eastAsia="Times New Roman" w:hAnsi="Verdana" w:cs="Times New Roman"/>
          <w:sz w:val="20"/>
          <w:szCs w:val="20"/>
          <w:lang w:eastAsia="pl-PL"/>
        </w:rPr>
        <w:t>Warsaw Stock Exchange (</w:t>
      </w:r>
      <w:r w:rsidR="00BB648F" w:rsidRPr="00E6563B">
        <w:rPr>
          <w:rFonts w:ascii="Verdana" w:eastAsia="Times New Roman" w:hAnsi="Verdana" w:cs="Times New Roman"/>
          <w:sz w:val="20"/>
          <w:szCs w:val="20"/>
          <w:lang w:eastAsia="pl-PL"/>
        </w:rPr>
        <w:t>Giełd</w:t>
      </w:r>
      <w:r w:rsidR="00492C45" w:rsidRPr="00E6563B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  <w:r w:rsidR="00BB648F" w:rsidRPr="00E656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Papierów Wartościowych w Warszawie S.A.</w:t>
      </w:r>
      <w:r w:rsidR="00421B8D" w:rsidRPr="00E6563B">
        <w:rPr>
          <w:rFonts w:ascii="Verdana" w:eastAsia="Times New Roman" w:hAnsi="Verdana" w:cs="Times New Roman"/>
          <w:sz w:val="20"/>
          <w:szCs w:val="20"/>
          <w:lang w:eastAsia="pl-PL"/>
        </w:rPr>
        <w:t>),</w:t>
      </w:r>
    </w:p>
    <w:p w14:paraId="358D2716" w14:textId="53C38C65" w:rsidR="00421B8D" w:rsidRPr="00421B8D" w:rsidRDefault="00421B8D" w:rsidP="00BE6A9A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Programme Participant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- an Exchange Member, within the meaning of the Exchange Rules, that has been qualified by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participate in the Programme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</w:p>
    <w:p w14:paraId="7F28183E" w14:textId="1F3E724C" w:rsidR="00421B8D" w:rsidRPr="00421B8D" w:rsidRDefault="00421B8D" w:rsidP="00BE6A9A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030C9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Fees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- fees on ETF, ETC and ETN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trade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by Exchange Members on the exchange,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charged by GPW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pursuant to point 3.1.1 of Exhibit 1 to the Exchange Rules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</w:p>
    <w:p w14:paraId="79427A53" w14:textId="21A84057" w:rsidR="00421B8D" w:rsidRPr="00421B8D" w:rsidRDefault="00421B8D" w:rsidP="00D42DE7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ETF, ETC, ETN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–</w:t>
      </w:r>
      <w:r w:rsidRPr="00E6563B">
        <w:rPr>
          <w:lang w:val="en-GB"/>
        </w:rPr>
        <w:t xml:space="preserve">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financial instruments referred to in § 2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(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13a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)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and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(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23b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)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the Exchange Rules,</w:t>
      </w:r>
      <w:r w:rsidR="00030C9D" w:rsidRPr="00030C9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 w:rsidR="00030C9D"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respectively</w:t>
      </w:r>
      <w:r w:rsidR="00030C9D"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listed on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the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exchange (regulated market operated by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)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</w:p>
    <w:p w14:paraId="5BD17C70" w14:textId="25CEA47D" w:rsidR="00421B8D" w:rsidRPr="00421B8D" w:rsidRDefault="00421B8D" w:rsidP="00BE6A9A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Committee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- a team of Exchange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employees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appointed by the Exchange Management Board to perform the tasks of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set out in these Rules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</w:p>
    <w:p w14:paraId="449BAF31" w14:textId="567471A5" w:rsidR="00421B8D" w:rsidRPr="00421B8D" w:rsidRDefault="00421B8D" w:rsidP="00835409">
      <w:pPr>
        <w:numPr>
          <w:ilvl w:val="0"/>
          <w:numId w:val="2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Declaration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- a written declaration submitted by 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, including at least a declaration of participation in the Programme and the commitment referred to in § 3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(4)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.</w:t>
      </w:r>
    </w:p>
    <w:p w14:paraId="3919058F" w14:textId="3676A80F" w:rsidR="00D83ED2" w:rsidRPr="00421B8D" w:rsidRDefault="00D83ED2" w:rsidP="00BE6A9A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BE6A9A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2. Program</w:t>
      </w:r>
      <w:r w:rsid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me</w:t>
      </w:r>
    </w:p>
    <w:p w14:paraId="1B825FB5" w14:textId="730DCDCF" w:rsidR="00421B8D" w:rsidRPr="00421B8D" w:rsidRDefault="00421B8D" w:rsidP="00952E11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These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Rules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set out the detailed terms and conditions of participation in the Programme.</w:t>
      </w:r>
    </w:p>
    <w:p w14:paraId="648AB571" w14:textId="10886438" w:rsidR="00421B8D" w:rsidRPr="00421B8D" w:rsidRDefault="00421B8D" w:rsidP="00BE6A9A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 Programme consists of a temporary reduction by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the exchange fees on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trade in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ETF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, ETC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and ETN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listed on 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xchange</w:t>
      </w:r>
      <w:r w:rsidR="00030C9D" w:rsidRPr="00030C9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 w:rsidR="00030C9D"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to zero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for Exchange Members who are Programme Participants.</w:t>
      </w:r>
    </w:p>
    <w:p w14:paraId="0A9604E4" w14:textId="5EFE35AB" w:rsidR="00421B8D" w:rsidRPr="00421B8D" w:rsidRDefault="00421B8D" w:rsidP="00BE6A9A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lastRenderedPageBreak/>
        <w:t xml:space="preserve">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Programme of fee reductions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shall apply from 1 January 2025 to 31 December 2025. The Exchange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Management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Board may decide to extend the </w:t>
      </w:r>
      <w:r w:rsidR="00030C9D">
        <w:rPr>
          <w:rFonts w:ascii="Verdana" w:eastAsia="Times New Roman" w:hAnsi="Verdana" w:cs="Times New Roman"/>
          <w:sz w:val="20"/>
          <w:szCs w:val="20"/>
          <w:lang w:val="en-GB" w:eastAsia="pl-PL"/>
        </w:rPr>
        <w:t>term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Programme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.</w:t>
      </w:r>
    </w:p>
    <w:p w14:paraId="6EE30C75" w14:textId="36EF716B" w:rsidR="00421B8D" w:rsidRPr="00421B8D" w:rsidRDefault="00421B8D" w:rsidP="00BE6A9A">
      <w:pPr>
        <w:numPr>
          <w:ilvl w:val="0"/>
          <w:numId w:val="1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 aim of the Programme is to increase the attractiveness of investing in ETFs, ETCs and ETNs for investors and to increase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turnover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in these instruments on the exchange.</w:t>
      </w:r>
    </w:p>
    <w:p w14:paraId="12B89A1D" w14:textId="1B156D41" w:rsidR="00421B8D" w:rsidRPr="00421B8D" w:rsidRDefault="00030C9D" w:rsidP="008D6DA3">
      <w:pPr>
        <w:pStyle w:val="Akapitzlist"/>
        <w:numPr>
          <w:ilvl w:val="0"/>
          <w:numId w:val="1"/>
        </w:numPr>
        <w:spacing w:before="100" w:beforeAutospacing="1" w:after="120" w:line="36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In the term</w:t>
      </w:r>
      <w:r w:rsidR="00421B8D"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the Programme, the Exchange </w:t>
      </w:r>
      <w:r w:rsid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Management </w:t>
      </w:r>
      <w:r w:rsidR="00421B8D"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Board shall appoint a Committee whose responsibilities and powers shall include, in particular:</w:t>
      </w:r>
    </w:p>
    <w:p w14:paraId="31259216" w14:textId="0A540935" w:rsidR="00421B8D" w:rsidRPr="00421B8D" w:rsidRDefault="00421B8D" w:rsidP="008D6DA3">
      <w:pPr>
        <w:pStyle w:val="Akapitzlist"/>
        <w:numPr>
          <w:ilvl w:val="1"/>
          <w:numId w:val="1"/>
        </w:numPr>
        <w:spacing w:before="100" w:beforeAutospacing="1" w:after="120" w:line="360" w:lineRule="auto"/>
        <w:ind w:left="113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to analyse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Declarations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and documentation provided by Exchange Members as required under these Rules,</w:t>
      </w:r>
    </w:p>
    <w:p w14:paraId="131013A9" w14:textId="59EAB729" w:rsidR="00421B8D" w:rsidRPr="00421B8D" w:rsidRDefault="00421B8D" w:rsidP="008D6DA3">
      <w:pPr>
        <w:pStyle w:val="Akapitzlist"/>
        <w:numPr>
          <w:ilvl w:val="1"/>
          <w:numId w:val="1"/>
        </w:numPr>
        <w:spacing w:before="100" w:beforeAutospacing="1" w:after="120" w:line="360" w:lineRule="auto"/>
        <w:ind w:left="113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to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decid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on 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qualification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participate in 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P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rogramme,</w:t>
      </w:r>
    </w:p>
    <w:p w14:paraId="1713E8BD" w14:textId="7E5B6EF5" w:rsidR="00421B8D" w:rsidRPr="00421B8D" w:rsidRDefault="00421B8D" w:rsidP="008D6DA3">
      <w:pPr>
        <w:pStyle w:val="Akapitzlist"/>
        <w:numPr>
          <w:ilvl w:val="1"/>
          <w:numId w:val="1"/>
        </w:numPr>
        <w:spacing w:before="100" w:beforeAutospacing="1" w:after="120" w:line="360" w:lineRule="auto"/>
        <w:ind w:left="113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to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inform 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refusal of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qualification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participate in the Programme,</w:t>
      </w:r>
    </w:p>
    <w:p w14:paraId="11693092" w14:textId="00F91375" w:rsidR="00421B8D" w:rsidRPr="00421B8D" w:rsidRDefault="00421B8D" w:rsidP="00421B8D">
      <w:pPr>
        <w:pStyle w:val="Akapitzlist"/>
        <w:numPr>
          <w:ilvl w:val="1"/>
          <w:numId w:val="1"/>
        </w:numPr>
        <w:spacing w:before="100" w:beforeAutospacing="1" w:after="120" w:line="360" w:lineRule="auto"/>
        <w:ind w:left="1134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to inform Exchange Members of</w:t>
      </w:r>
      <w:r w:rsidRPr="00E6563B">
        <w:rPr>
          <w:lang w:val="en-GB"/>
        </w:rPr>
        <w:t xml:space="preserve">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acceptance of withdrawal from participation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in the Programme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.</w:t>
      </w:r>
    </w:p>
    <w:p w14:paraId="2E80D897" w14:textId="7C0844D9" w:rsidR="00DF412D" w:rsidRPr="00421B8D" w:rsidRDefault="00DF412D" w:rsidP="00BE6A9A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BE6A9A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3. </w:t>
      </w:r>
      <w:r w:rsidR="00421B8D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Conditions </w:t>
      </w:r>
      <w:r w:rsidR="00030C9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of</w:t>
      </w:r>
      <w:r w:rsidR="00421B8D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participation in the Programme</w:t>
      </w:r>
    </w:p>
    <w:p w14:paraId="2CC33356" w14:textId="235C9A74" w:rsidR="00421B8D" w:rsidRPr="00421B8D" w:rsidRDefault="00421B8D" w:rsidP="003F43AA">
      <w:pPr>
        <w:numPr>
          <w:ilvl w:val="0"/>
          <w:numId w:val="3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As a condition of qualification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and participation in the Programme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the Exchange Member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shall 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reduc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the transaction fees charged to clients on ETF, ETC and ETN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trade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no more than 0.2% of the value of the transaction or waiv</w:t>
      </w:r>
      <w:r w:rsid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e</w:t>
      </w:r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such transaction fees, provided that:</w:t>
      </w:r>
    </w:p>
    <w:p w14:paraId="28942137" w14:textId="7B4CD9E4" w:rsidR="00C11726" w:rsidRPr="00421B8D" w:rsidRDefault="00C11726" w:rsidP="003F43AA">
      <w:pPr>
        <w:pStyle w:val="Akapitzlist"/>
        <w:numPr>
          <w:ilvl w:val="1"/>
          <w:numId w:val="3"/>
        </w:numPr>
        <w:spacing w:after="120" w:line="360" w:lineRule="auto"/>
        <w:ind w:left="113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 reduction or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waiver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transaction fees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shall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apply at least from the first day of the month following the month in which the entity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is qualified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for participation in the Programme and for the entire period of the 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’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s participation in the Programme;</w:t>
      </w:r>
    </w:p>
    <w:p w14:paraId="6D707FF4" w14:textId="20F066F4" w:rsidR="00C11726" w:rsidRPr="00421B8D" w:rsidRDefault="00C11726" w:rsidP="003F43AA">
      <w:pPr>
        <w:pStyle w:val="Akapitzlist"/>
        <w:numPr>
          <w:ilvl w:val="1"/>
          <w:numId w:val="3"/>
        </w:numPr>
        <w:spacing w:after="120" w:line="360" w:lineRule="auto"/>
        <w:ind w:left="113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where the reduction or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waiver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transaction fees is conditional on the 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’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s client achieving a minimum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turnover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value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,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the reduction of the transaction fees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shall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be accompanied by a reduction of the minimum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turnover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value threshold by at least 50%;</w:t>
      </w:r>
    </w:p>
    <w:p w14:paraId="08A2023E" w14:textId="231769AE" w:rsidR="00C11726" w:rsidRPr="00421B8D" w:rsidRDefault="00C11726" w:rsidP="003F43AA">
      <w:pPr>
        <w:pStyle w:val="Akapitzlist"/>
        <w:numPr>
          <w:ilvl w:val="1"/>
          <w:numId w:val="3"/>
        </w:numPr>
        <w:spacing w:before="100" w:beforeAutospacing="1" w:after="120" w:line="360" w:lineRule="auto"/>
        <w:ind w:left="1134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 reduction or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waiver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transaction fees and the reduction of the minimum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turnover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value threshold shall not be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made </w:t>
      </w:r>
      <w:r w:rsidR="00030C9D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any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less advantageous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throughout the 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’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s participation in the Programme.</w:t>
      </w:r>
    </w:p>
    <w:p w14:paraId="420AFD31" w14:textId="1A785546" w:rsidR="00C11726" w:rsidRPr="00421B8D" w:rsidRDefault="00C11726" w:rsidP="003B1F86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Enrolment in the Programme shall be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made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on the basis of a Declaration, submitted by the Exchange Member to: </w:t>
      </w:r>
      <w:hyperlink r:id="rId8" w:history="1">
        <w:r w:rsidRPr="00421B8D">
          <w:rPr>
            <w:rStyle w:val="Hipercze"/>
            <w:rFonts w:ascii="Verdana" w:eastAsia="Times New Roman" w:hAnsi="Verdana" w:cs="Times New Roman"/>
            <w:sz w:val="20"/>
            <w:szCs w:val="20"/>
            <w:lang w:val="en-GB" w:eastAsia="pl-PL"/>
          </w:rPr>
          <w:t>sales@gpw.pl</w:t>
        </w:r>
      </w:hyperlink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.</w:t>
      </w:r>
    </w:p>
    <w:p w14:paraId="06B08AC0" w14:textId="2235256B" w:rsidR="00C11726" w:rsidRPr="00421B8D" w:rsidRDefault="00C11726" w:rsidP="003B1F86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lastRenderedPageBreak/>
        <w:t xml:space="preserve">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scope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of information required in the Declaration shall be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defined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by the Exchange, subject to § 4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(1).</w:t>
      </w:r>
    </w:p>
    <w:p w14:paraId="555441BB" w14:textId="01A03587" w:rsidR="00C11726" w:rsidRPr="00421B8D" w:rsidRDefault="00C11726" w:rsidP="003B1F86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An Exchange Member that is qualified for the Programme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agrees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that it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shall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not introduce any additional fees related to ETF, ETC and ETN transactions concluded for the account of its clients on the regulated market operated by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during the Programme.</w:t>
      </w:r>
    </w:p>
    <w:p w14:paraId="4E2F5C84" w14:textId="67E41D6E" w:rsidR="00C11726" w:rsidRPr="00421B8D" w:rsidRDefault="00C11726" w:rsidP="00866ACD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An Exchange Member that is qualified for the Programme may use the title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of “GPW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ETF, ETC and ETN Fee Reduction Programme Partner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”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in its promotional materials in accordance with the Exchange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’s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guidelines.</w:t>
      </w:r>
    </w:p>
    <w:p w14:paraId="6FDCA767" w14:textId="5D86215E" w:rsidR="00C11726" w:rsidRPr="00421B8D" w:rsidRDefault="00C11726" w:rsidP="00866ACD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 agrees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ensure full transparency of the terms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and conditions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of the Programme and its promotion among market participants.</w:t>
      </w:r>
    </w:p>
    <w:p w14:paraId="4708B8CD" w14:textId="543E0C21" w:rsidR="00DF412D" w:rsidRPr="00421B8D" w:rsidRDefault="00DF412D" w:rsidP="00866ACD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BE6A9A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4. </w:t>
      </w:r>
      <w:r w:rsidR="00C11726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Declarations</w:t>
      </w:r>
      <w:r w:rsidR="00C11726" w:rsidRPr="00C11726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and verification </w:t>
      </w:r>
    </w:p>
    <w:p w14:paraId="476FB361" w14:textId="4C9634FD" w:rsidR="00C11726" w:rsidRPr="00421B8D" w:rsidRDefault="00C11726" w:rsidP="002011F1">
      <w:pPr>
        <w:numPr>
          <w:ilvl w:val="0"/>
          <w:numId w:val="4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Exchange Member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shall submit, together with 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Declaration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, a detailed plan of transaction fee reductions and documentation confirming their compliance with the requirements referred to in § 3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(1) of these Rules.</w:t>
      </w:r>
    </w:p>
    <w:p w14:paraId="69CC8DEB" w14:textId="06E29180" w:rsidR="00C11726" w:rsidRPr="00421B8D" w:rsidRDefault="00C11726" w:rsidP="00BE6A9A">
      <w:pPr>
        <w:numPr>
          <w:ilvl w:val="0"/>
          <w:numId w:val="4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 Exchange shall carry out formal verification of submitted documents within 10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business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days of their receipt.</w:t>
      </w:r>
    </w:p>
    <w:p w14:paraId="44298262" w14:textId="45F75560" w:rsidR="00C11726" w:rsidRPr="00421B8D" w:rsidRDefault="00C11726" w:rsidP="00BE6A9A">
      <w:pPr>
        <w:numPr>
          <w:ilvl w:val="0"/>
          <w:numId w:val="4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Information on the qualification or refusal of qualification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of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>the Exchange Member for the Programme shall be sent to the e-mail address from which the application for the Programme was made.</w:t>
      </w:r>
    </w:p>
    <w:p w14:paraId="54C39495" w14:textId="38930B56" w:rsidR="00C11726" w:rsidRPr="00421B8D" w:rsidRDefault="00C11726" w:rsidP="00BE6A9A">
      <w:pPr>
        <w:numPr>
          <w:ilvl w:val="0"/>
          <w:numId w:val="4"/>
        </w:num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Where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an Exchange Member sends a declaration of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withdrawal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from the Programme as referred to in § 7,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shall confirm the receipt of the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withdrawal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the e-mail address from which such declaration was sent.</w:t>
      </w:r>
    </w:p>
    <w:p w14:paraId="666E6F56" w14:textId="6B64389C" w:rsidR="00E12AF3" w:rsidRPr="00421B8D" w:rsidRDefault="00E12AF3" w:rsidP="00BE6A9A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41004B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5. </w:t>
      </w:r>
      <w:r w:rsidR="00C11726" w:rsidRPr="00C11726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Scope of fee reduction</w:t>
      </w:r>
    </w:p>
    <w:p w14:paraId="775699CB" w14:textId="0062EC16" w:rsidR="00C11726" w:rsidRPr="00421B8D" w:rsidRDefault="00C11726" w:rsidP="00CC4D2F">
      <w:pPr>
        <w:spacing w:before="100" w:beforeAutospacing="1" w:after="120" w:line="36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A Programme Participant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that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fulfils the conditions of participation in the Programme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shall have the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right to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use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exchange fees reduced to zero, charged by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GPW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pursuant to point 3.1.1 of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Exhibit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1 to the Exchange Rules, on </w:t>
      </w:r>
      <w:r w:rsidR="00CD5080"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ETF, ETC and ETN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trade 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on the exchange in the period from the first day of the month in which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the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entity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is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qualified to participate in the Programme until the end of the Programme and, in the case of an earlier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withdrawal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from participation in the Programme, until the end of the month in which the Programme Participant 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notifie</w:t>
      </w:r>
      <w:r w:rsidR="00030C9D">
        <w:rPr>
          <w:rFonts w:ascii="Verdana" w:eastAsia="Times New Roman" w:hAnsi="Verdana" w:cs="Times New Roman"/>
          <w:sz w:val="20"/>
          <w:szCs w:val="20"/>
          <w:lang w:val="en-GB" w:eastAsia="pl-PL"/>
        </w:rPr>
        <w:t>s</w:t>
      </w:r>
      <w:r w:rsid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its withdrawal</w:t>
      </w:r>
      <w:r w:rsidRPr="00C11726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from participation in the Programme.</w:t>
      </w:r>
    </w:p>
    <w:p w14:paraId="2AD0261E" w14:textId="603D4DC5" w:rsidR="003F43AA" w:rsidRPr="00421B8D" w:rsidRDefault="003F43AA" w:rsidP="003F43AA">
      <w:pPr>
        <w:spacing w:before="100" w:beforeAutospacing="1" w:after="120" w:line="36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</w:p>
    <w:p w14:paraId="2ADD564F" w14:textId="77777777" w:rsidR="003F43AA" w:rsidRPr="00421B8D" w:rsidRDefault="003F43AA" w:rsidP="003F43AA">
      <w:pPr>
        <w:spacing w:before="100" w:beforeAutospacing="1" w:after="120" w:line="360" w:lineRule="auto"/>
        <w:ind w:left="708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</w:p>
    <w:p w14:paraId="2D939965" w14:textId="6E07BBFD" w:rsidR="00E12AF3" w:rsidRPr="00421B8D" w:rsidRDefault="00E12AF3" w:rsidP="00BE6A9A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155F8C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="000733A0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6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. </w:t>
      </w:r>
      <w:r w:rsidR="00CD5080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Amendments</w:t>
      </w:r>
    </w:p>
    <w:p w14:paraId="709990F2" w14:textId="27330E71" w:rsidR="00CD5080" w:rsidRPr="00421B8D" w:rsidRDefault="00CD5080" w:rsidP="003F43AA">
      <w:pPr>
        <w:spacing w:before="100" w:beforeAutospacing="1" w:after="120" w:line="36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 Exchange reserves the right to amend the terms and conditions of the Programme. Such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amendments shall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be announced at least 30 days in advance and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shall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be effective from the date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set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in the relevant resolution of the Exchange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Management 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Board.</w:t>
      </w:r>
    </w:p>
    <w:p w14:paraId="5CD2F73A" w14:textId="205BE43B" w:rsidR="00E12AF3" w:rsidRPr="00421B8D" w:rsidRDefault="00E12AF3" w:rsidP="00BE6A9A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155F8C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="000733A0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7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. </w:t>
      </w:r>
      <w:r w:rsidR="00CD5080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Withdrawal from participation in the Programme</w:t>
      </w:r>
    </w:p>
    <w:p w14:paraId="34856967" w14:textId="7BBEAB41" w:rsidR="00CD5080" w:rsidRPr="00421B8D" w:rsidRDefault="00CD5080" w:rsidP="003F43AA">
      <w:pPr>
        <w:spacing w:before="100" w:beforeAutospacing="1" w:after="120" w:line="36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Programme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Participants 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may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withdraw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from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participation in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the Programme by submitting an appropriate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declaration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to the following address: </w:t>
      </w:r>
      <w:hyperlink r:id="rId9" w:history="1">
        <w:r w:rsidRPr="00421B8D">
          <w:rPr>
            <w:rStyle w:val="Hipercze"/>
            <w:rFonts w:ascii="Verdana" w:eastAsia="Times New Roman" w:hAnsi="Verdana" w:cs="Times New Roman"/>
            <w:sz w:val="20"/>
            <w:szCs w:val="20"/>
            <w:lang w:val="en-GB" w:eastAsia="pl-PL"/>
          </w:rPr>
          <w:t>sales@gpw.pl</w:t>
        </w:r>
      </w:hyperlink>
      <w:r w:rsidRPr="00421B8D">
        <w:rPr>
          <w:rFonts w:ascii="Verdana" w:eastAsia="Times New Roman" w:hAnsi="Verdana" w:cs="Times New Roman"/>
          <w:sz w:val="20"/>
          <w:szCs w:val="20"/>
          <w:lang w:val="en-GB" w:eastAsia="pl-PL"/>
        </w:rPr>
        <w:t>.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Th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e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declaration should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define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in particular the date of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>withdrawal from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participation in the Programme.</w:t>
      </w:r>
    </w:p>
    <w:p w14:paraId="69D4D7D8" w14:textId="004F6F8D" w:rsidR="002011F1" w:rsidRPr="00421B8D" w:rsidRDefault="00DF412D" w:rsidP="002011F1">
      <w:pPr>
        <w:spacing w:before="100" w:beforeAutospacing="1" w:after="120"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</w:pP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§</w:t>
      </w:r>
      <w:r w:rsidR="00155F8C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 </w:t>
      </w:r>
      <w:r w:rsidR="000733A0"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8</w:t>
      </w:r>
      <w:r w:rsidRPr="00421B8D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 xml:space="preserve">. </w:t>
      </w:r>
      <w:r w:rsidR="00CD5080">
        <w:rPr>
          <w:rFonts w:ascii="Verdana" w:eastAsia="Times New Roman" w:hAnsi="Verdana" w:cs="Times New Roman"/>
          <w:b/>
          <w:bCs/>
          <w:sz w:val="20"/>
          <w:szCs w:val="20"/>
          <w:lang w:val="en-GB" w:eastAsia="pl-PL"/>
        </w:rPr>
        <w:t>Term</w:t>
      </w:r>
    </w:p>
    <w:p w14:paraId="3EA613DD" w14:textId="3288E947" w:rsidR="00CD5080" w:rsidRPr="00421B8D" w:rsidRDefault="00CD5080" w:rsidP="003F43AA">
      <w:pPr>
        <w:spacing w:before="100" w:beforeAutospacing="1" w:after="120" w:line="36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val="en-GB" w:eastAsia="pl-PL"/>
        </w:rPr>
      </w:pP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These Rules shall remain in force until 31 December 2025, unless the Exchange 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Management Board 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decides to extend </w:t>
      </w:r>
      <w:r w:rsidR="003E01D9">
        <w:rPr>
          <w:rFonts w:ascii="Verdana" w:eastAsia="Times New Roman" w:hAnsi="Verdana" w:cs="Times New Roman"/>
          <w:sz w:val="20"/>
          <w:szCs w:val="20"/>
          <w:lang w:val="en-GB" w:eastAsia="pl-PL"/>
        </w:rPr>
        <w:t>their</w:t>
      </w:r>
      <w:r>
        <w:rPr>
          <w:rFonts w:ascii="Verdana" w:eastAsia="Times New Roman" w:hAnsi="Verdana" w:cs="Times New Roman"/>
          <w:sz w:val="20"/>
          <w:szCs w:val="20"/>
          <w:lang w:val="en-GB" w:eastAsia="pl-PL"/>
        </w:rPr>
        <w:t xml:space="preserve"> term</w:t>
      </w:r>
      <w:r w:rsidRPr="00CD5080">
        <w:rPr>
          <w:rFonts w:ascii="Verdana" w:eastAsia="Times New Roman" w:hAnsi="Verdana" w:cs="Times New Roman"/>
          <w:sz w:val="20"/>
          <w:szCs w:val="20"/>
          <w:lang w:val="en-GB" w:eastAsia="pl-PL"/>
        </w:rPr>
        <w:t>.</w:t>
      </w:r>
    </w:p>
    <w:p w14:paraId="78028C21" w14:textId="77777777" w:rsidR="002538CC" w:rsidRPr="00421B8D" w:rsidRDefault="002538CC" w:rsidP="00BE6A9A">
      <w:pPr>
        <w:spacing w:after="120" w:line="360" w:lineRule="auto"/>
        <w:jc w:val="both"/>
        <w:rPr>
          <w:rFonts w:ascii="Verdana" w:hAnsi="Verdana" w:cs="Times New Roman"/>
          <w:sz w:val="20"/>
          <w:szCs w:val="20"/>
          <w:lang w:val="en-GB"/>
        </w:rPr>
      </w:pPr>
    </w:p>
    <w:bookmarkEnd w:id="0"/>
    <w:p w14:paraId="6A9AF20B" w14:textId="77777777" w:rsidR="00406FA2" w:rsidRPr="00421B8D" w:rsidRDefault="00406FA2" w:rsidP="00BE6A9A">
      <w:pPr>
        <w:spacing w:after="120" w:line="360" w:lineRule="auto"/>
        <w:jc w:val="both"/>
        <w:rPr>
          <w:rFonts w:ascii="Verdana" w:hAnsi="Verdana" w:cs="Times New Roman"/>
          <w:sz w:val="20"/>
          <w:szCs w:val="20"/>
          <w:lang w:val="en-GB"/>
        </w:rPr>
      </w:pPr>
    </w:p>
    <w:sectPr w:rsidR="00406FA2" w:rsidRPr="00421B8D" w:rsidSect="00E27DE1">
      <w:footerReference w:type="default" r:id="rId10"/>
      <w:pgSz w:w="11906" w:h="16838"/>
      <w:pgMar w:top="1417" w:right="1417" w:bottom="1135" w:left="1417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F5FF" w14:textId="77777777" w:rsidR="001F1B6A" w:rsidRDefault="001F1B6A" w:rsidP="00DF412D">
      <w:pPr>
        <w:spacing w:after="0" w:line="240" w:lineRule="auto"/>
      </w:pPr>
      <w:r>
        <w:separator/>
      </w:r>
    </w:p>
  </w:endnote>
  <w:endnote w:type="continuationSeparator" w:id="0">
    <w:p w14:paraId="3B239F0C" w14:textId="77777777" w:rsidR="001F1B6A" w:rsidRDefault="001F1B6A" w:rsidP="00DF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107595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5F4374E" w14:textId="77777777" w:rsidR="00A719D1" w:rsidRDefault="00A719D1">
        <w:pPr>
          <w:pStyle w:val="Stopka"/>
          <w:jc w:val="right"/>
          <w:rPr>
            <w:sz w:val="16"/>
            <w:szCs w:val="16"/>
          </w:rPr>
        </w:pPr>
      </w:p>
      <w:p w14:paraId="4CAD7BB9" w14:textId="7AC1C01E" w:rsidR="00D843B0" w:rsidRPr="00A719D1" w:rsidRDefault="00D843B0">
        <w:pPr>
          <w:pStyle w:val="Stopka"/>
          <w:jc w:val="right"/>
          <w:rPr>
            <w:sz w:val="16"/>
            <w:szCs w:val="16"/>
          </w:rPr>
        </w:pPr>
        <w:r w:rsidRPr="00A719D1">
          <w:rPr>
            <w:sz w:val="16"/>
            <w:szCs w:val="16"/>
          </w:rPr>
          <w:fldChar w:fldCharType="begin"/>
        </w:r>
        <w:r w:rsidRPr="00A719D1">
          <w:rPr>
            <w:sz w:val="16"/>
            <w:szCs w:val="16"/>
          </w:rPr>
          <w:instrText>PAGE   \* MERGEFORMAT</w:instrText>
        </w:r>
        <w:r w:rsidRPr="00A719D1">
          <w:rPr>
            <w:sz w:val="16"/>
            <w:szCs w:val="16"/>
          </w:rPr>
          <w:fldChar w:fldCharType="separate"/>
        </w:r>
        <w:r w:rsidRPr="00A719D1">
          <w:rPr>
            <w:sz w:val="16"/>
            <w:szCs w:val="16"/>
          </w:rPr>
          <w:t>2</w:t>
        </w:r>
        <w:r w:rsidRPr="00A719D1">
          <w:rPr>
            <w:sz w:val="16"/>
            <w:szCs w:val="16"/>
          </w:rPr>
          <w:fldChar w:fldCharType="end"/>
        </w:r>
      </w:p>
    </w:sdtContent>
  </w:sdt>
  <w:p w14:paraId="35169A4B" w14:textId="77777777" w:rsidR="00D843B0" w:rsidRDefault="00D84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38FE3" w14:textId="77777777" w:rsidR="001F1B6A" w:rsidRDefault="001F1B6A" w:rsidP="00DF412D">
      <w:pPr>
        <w:spacing w:after="0" w:line="240" w:lineRule="auto"/>
      </w:pPr>
      <w:r>
        <w:separator/>
      </w:r>
    </w:p>
  </w:footnote>
  <w:footnote w:type="continuationSeparator" w:id="0">
    <w:p w14:paraId="24FB2256" w14:textId="77777777" w:rsidR="001F1B6A" w:rsidRDefault="001F1B6A" w:rsidP="00DF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1FF8"/>
    <w:multiLevelType w:val="multilevel"/>
    <w:tmpl w:val="52BE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C6FF5"/>
    <w:multiLevelType w:val="multilevel"/>
    <w:tmpl w:val="D938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342AF"/>
    <w:multiLevelType w:val="multilevel"/>
    <w:tmpl w:val="E7D4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3951"/>
    <w:multiLevelType w:val="multilevel"/>
    <w:tmpl w:val="5030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050067"/>
    <w:multiLevelType w:val="multilevel"/>
    <w:tmpl w:val="57805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4536FF"/>
    <w:multiLevelType w:val="multilevel"/>
    <w:tmpl w:val="4A44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87F06"/>
    <w:multiLevelType w:val="multilevel"/>
    <w:tmpl w:val="A5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C5A0D"/>
    <w:multiLevelType w:val="multilevel"/>
    <w:tmpl w:val="C47A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3193D"/>
    <w:multiLevelType w:val="multilevel"/>
    <w:tmpl w:val="21F6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920" w:hanging="40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16A31"/>
    <w:multiLevelType w:val="hybridMultilevel"/>
    <w:tmpl w:val="5E48767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DCE493D"/>
    <w:multiLevelType w:val="multilevel"/>
    <w:tmpl w:val="E1E6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F7C4C"/>
    <w:multiLevelType w:val="hybridMultilevel"/>
    <w:tmpl w:val="778CD006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04150017">
      <w:start w:val="1"/>
      <w:numFmt w:val="lowerLetter"/>
      <w:lvlText w:val="%4)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F9A7D5B"/>
    <w:multiLevelType w:val="multilevel"/>
    <w:tmpl w:val="A8DEC23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0A0E97"/>
    <w:multiLevelType w:val="hybridMultilevel"/>
    <w:tmpl w:val="EA681D9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84A2803"/>
    <w:multiLevelType w:val="multilevel"/>
    <w:tmpl w:val="62BA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EF1117"/>
    <w:multiLevelType w:val="multilevel"/>
    <w:tmpl w:val="8D52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9B5946"/>
    <w:multiLevelType w:val="multilevel"/>
    <w:tmpl w:val="64545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894D16"/>
    <w:multiLevelType w:val="multilevel"/>
    <w:tmpl w:val="2EA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171238">
    <w:abstractNumId w:val="14"/>
  </w:num>
  <w:num w:numId="2" w16cid:durableId="519662033">
    <w:abstractNumId w:val="15"/>
  </w:num>
  <w:num w:numId="3" w16cid:durableId="903374303">
    <w:abstractNumId w:val="8"/>
  </w:num>
  <w:num w:numId="4" w16cid:durableId="1694959252">
    <w:abstractNumId w:val="17"/>
  </w:num>
  <w:num w:numId="5" w16cid:durableId="2078358042">
    <w:abstractNumId w:val="12"/>
  </w:num>
  <w:num w:numId="6" w16cid:durableId="1156141693">
    <w:abstractNumId w:val="0"/>
  </w:num>
  <w:num w:numId="7" w16cid:durableId="1543208348">
    <w:abstractNumId w:val="2"/>
  </w:num>
  <w:num w:numId="8" w16cid:durableId="620769809">
    <w:abstractNumId w:val="4"/>
  </w:num>
  <w:num w:numId="9" w16cid:durableId="1941793617">
    <w:abstractNumId w:val="5"/>
  </w:num>
  <w:num w:numId="10" w16cid:durableId="1371299205">
    <w:abstractNumId w:val="6"/>
  </w:num>
  <w:num w:numId="11" w16cid:durableId="132410437">
    <w:abstractNumId w:val="1"/>
  </w:num>
  <w:num w:numId="12" w16cid:durableId="1364214397">
    <w:abstractNumId w:val="7"/>
  </w:num>
  <w:num w:numId="13" w16cid:durableId="173342843">
    <w:abstractNumId w:val="3"/>
  </w:num>
  <w:num w:numId="14" w16cid:durableId="554776533">
    <w:abstractNumId w:val="16"/>
  </w:num>
  <w:num w:numId="15" w16cid:durableId="2041663554">
    <w:abstractNumId w:val="10"/>
  </w:num>
  <w:num w:numId="16" w16cid:durableId="1096250054">
    <w:abstractNumId w:val="13"/>
  </w:num>
  <w:num w:numId="17" w16cid:durableId="961568388">
    <w:abstractNumId w:val="9"/>
  </w:num>
  <w:num w:numId="18" w16cid:durableId="1271233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2D"/>
    <w:rsid w:val="00020018"/>
    <w:rsid w:val="00030C9D"/>
    <w:rsid w:val="00050444"/>
    <w:rsid w:val="00056E2B"/>
    <w:rsid w:val="000626DE"/>
    <w:rsid w:val="0006285A"/>
    <w:rsid w:val="000733A0"/>
    <w:rsid w:val="000A08FE"/>
    <w:rsid w:val="000A5327"/>
    <w:rsid w:val="000E0AB6"/>
    <w:rsid w:val="000E1A46"/>
    <w:rsid w:val="00126780"/>
    <w:rsid w:val="0013732F"/>
    <w:rsid w:val="00155F8C"/>
    <w:rsid w:val="00165181"/>
    <w:rsid w:val="001C5B4E"/>
    <w:rsid w:val="001D4727"/>
    <w:rsid w:val="001D7534"/>
    <w:rsid w:val="001F1B6A"/>
    <w:rsid w:val="001F5F4C"/>
    <w:rsid w:val="002011F1"/>
    <w:rsid w:val="00207528"/>
    <w:rsid w:val="002538CC"/>
    <w:rsid w:val="002E1EBB"/>
    <w:rsid w:val="00302BA2"/>
    <w:rsid w:val="00337882"/>
    <w:rsid w:val="00345797"/>
    <w:rsid w:val="00372E37"/>
    <w:rsid w:val="00391156"/>
    <w:rsid w:val="00393997"/>
    <w:rsid w:val="003A107B"/>
    <w:rsid w:val="003B1F86"/>
    <w:rsid w:val="003B6D0E"/>
    <w:rsid w:val="003C204B"/>
    <w:rsid w:val="003E01D9"/>
    <w:rsid w:val="003F43AA"/>
    <w:rsid w:val="003F592A"/>
    <w:rsid w:val="00400CD2"/>
    <w:rsid w:val="004031DE"/>
    <w:rsid w:val="00406FA2"/>
    <w:rsid w:val="0041004B"/>
    <w:rsid w:val="00421B8D"/>
    <w:rsid w:val="004234DC"/>
    <w:rsid w:val="00430549"/>
    <w:rsid w:val="00434C57"/>
    <w:rsid w:val="00464DE4"/>
    <w:rsid w:val="00481962"/>
    <w:rsid w:val="00492C45"/>
    <w:rsid w:val="00497B52"/>
    <w:rsid w:val="004B55C7"/>
    <w:rsid w:val="004C50F5"/>
    <w:rsid w:val="004D261E"/>
    <w:rsid w:val="004E3107"/>
    <w:rsid w:val="004F4228"/>
    <w:rsid w:val="00503F31"/>
    <w:rsid w:val="005043AF"/>
    <w:rsid w:val="00504C7E"/>
    <w:rsid w:val="005108E3"/>
    <w:rsid w:val="0051440D"/>
    <w:rsid w:val="00517530"/>
    <w:rsid w:val="00523923"/>
    <w:rsid w:val="0052767A"/>
    <w:rsid w:val="005743C9"/>
    <w:rsid w:val="005944D2"/>
    <w:rsid w:val="005B1CC8"/>
    <w:rsid w:val="005D0689"/>
    <w:rsid w:val="005D108F"/>
    <w:rsid w:val="005E40EF"/>
    <w:rsid w:val="00623773"/>
    <w:rsid w:val="0062676B"/>
    <w:rsid w:val="00643360"/>
    <w:rsid w:val="00652A75"/>
    <w:rsid w:val="00671E55"/>
    <w:rsid w:val="00672AC2"/>
    <w:rsid w:val="00684AFA"/>
    <w:rsid w:val="006907A1"/>
    <w:rsid w:val="006D3702"/>
    <w:rsid w:val="007439A4"/>
    <w:rsid w:val="00761964"/>
    <w:rsid w:val="0078780D"/>
    <w:rsid w:val="0079450D"/>
    <w:rsid w:val="007B552D"/>
    <w:rsid w:val="007E7912"/>
    <w:rsid w:val="007F1E19"/>
    <w:rsid w:val="007F49EC"/>
    <w:rsid w:val="008014B7"/>
    <w:rsid w:val="00826EC2"/>
    <w:rsid w:val="00835409"/>
    <w:rsid w:val="008630F7"/>
    <w:rsid w:val="00863A80"/>
    <w:rsid w:val="00866ACD"/>
    <w:rsid w:val="008B00E6"/>
    <w:rsid w:val="008C1FDD"/>
    <w:rsid w:val="008D61A3"/>
    <w:rsid w:val="008D6DA3"/>
    <w:rsid w:val="008D7C25"/>
    <w:rsid w:val="00905550"/>
    <w:rsid w:val="00911F3E"/>
    <w:rsid w:val="00930073"/>
    <w:rsid w:val="00952E11"/>
    <w:rsid w:val="009720FE"/>
    <w:rsid w:val="0097742B"/>
    <w:rsid w:val="009B27E8"/>
    <w:rsid w:val="009C6681"/>
    <w:rsid w:val="009D120A"/>
    <w:rsid w:val="009F426F"/>
    <w:rsid w:val="00A3666E"/>
    <w:rsid w:val="00A56757"/>
    <w:rsid w:val="00A719D1"/>
    <w:rsid w:val="00A7467C"/>
    <w:rsid w:val="00A9755E"/>
    <w:rsid w:val="00A978CC"/>
    <w:rsid w:val="00AB25F4"/>
    <w:rsid w:val="00AD397D"/>
    <w:rsid w:val="00AD5C0B"/>
    <w:rsid w:val="00AD727B"/>
    <w:rsid w:val="00B06CFC"/>
    <w:rsid w:val="00B53C14"/>
    <w:rsid w:val="00B7152C"/>
    <w:rsid w:val="00B86467"/>
    <w:rsid w:val="00B90B1F"/>
    <w:rsid w:val="00B90E23"/>
    <w:rsid w:val="00BA008F"/>
    <w:rsid w:val="00BB648F"/>
    <w:rsid w:val="00BC16CF"/>
    <w:rsid w:val="00BC3D06"/>
    <w:rsid w:val="00BC4C0D"/>
    <w:rsid w:val="00BE6956"/>
    <w:rsid w:val="00BE6A9A"/>
    <w:rsid w:val="00BF3CD9"/>
    <w:rsid w:val="00BF45FB"/>
    <w:rsid w:val="00C11726"/>
    <w:rsid w:val="00C154D8"/>
    <w:rsid w:val="00C54696"/>
    <w:rsid w:val="00C63802"/>
    <w:rsid w:val="00C86B21"/>
    <w:rsid w:val="00C97201"/>
    <w:rsid w:val="00CB64A7"/>
    <w:rsid w:val="00CC4D2F"/>
    <w:rsid w:val="00CD5080"/>
    <w:rsid w:val="00CF2EE5"/>
    <w:rsid w:val="00D0232C"/>
    <w:rsid w:val="00D05AA9"/>
    <w:rsid w:val="00D22EB3"/>
    <w:rsid w:val="00D407D1"/>
    <w:rsid w:val="00D80FC4"/>
    <w:rsid w:val="00D83ED2"/>
    <w:rsid w:val="00D843B0"/>
    <w:rsid w:val="00D86A94"/>
    <w:rsid w:val="00DB5ABE"/>
    <w:rsid w:val="00DE33F2"/>
    <w:rsid w:val="00DE43D6"/>
    <w:rsid w:val="00DF412D"/>
    <w:rsid w:val="00DF5427"/>
    <w:rsid w:val="00E12AF3"/>
    <w:rsid w:val="00E14408"/>
    <w:rsid w:val="00E27DE1"/>
    <w:rsid w:val="00E54840"/>
    <w:rsid w:val="00E6563B"/>
    <w:rsid w:val="00E9100D"/>
    <w:rsid w:val="00E918BA"/>
    <w:rsid w:val="00E937E6"/>
    <w:rsid w:val="00EB6946"/>
    <w:rsid w:val="00ED1AFE"/>
    <w:rsid w:val="00EE7FAC"/>
    <w:rsid w:val="00F06DDD"/>
    <w:rsid w:val="00F306A5"/>
    <w:rsid w:val="00F44221"/>
    <w:rsid w:val="00F54109"/>
    <w:rsid w:val="00F548D5"/>
    <w:rsid w:val="00F65F85"/>
    <w:rsid w:val="00F8194E"/>
    <w:rsid w:val="00FA45AE"/>
    <w:rsid w:val="00FD5FF0"/>
    <w:rsid w:val="00FD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EA508"/>
  <w15:chartTrackingRefBased/>
  <w15:docId w15:val="{E9F96D83-4A34-4A2F-883F-5E676690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F4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F4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12D"/>
  </w:style>
  <w:style w:type="paragraph" w:styleId="Stopka">
    <w:name w:val="footer"/>
    <w:basedOn w:val="Normalny"/>
    <w:link w:val="StopkaZnak"/>
    <w:uiPriority w:val="99"/>
    <w:unhideWhenUsed/>
    <w:rsid w:val="00DF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12D"/>
  </w:style>
  <w:style w:type="character" w:customStyle="1" w:styleId="Nagwek2Znak">
    <w:name w:val="Nagłówek 2 Znak"/>
    <w:basedOn w:val="Domylnaczcionkaakapitu"/>
    <w:link w:val="Nagwek2"/>
    <w:uiPriority w:val="9"/>
    <w:rsid w:val="00DF41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F41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F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F412D"/>
    <w:rPr>
      <w:b/>
      <w:bCs/>
    </w:rPr>
  </w:style>
  <w:style w:type="paragraph" w:styleId="Akapitzlist">
    <w:name w:val="List Paragraph"/>
    <w:basedOn w:val="Normalny"/>
    <w:uiPriority w:val="34"/>
    <w:qFormat/>
    <w:rsid w:val="001D47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61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61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57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57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5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57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579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1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1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19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gp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@gp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6ae41dc2-d6e3-43de-956f-09b682450a97" value=""/>
</sisl>
</file>

<file path=customXml/itemProps1.xml><?xml version="1.0" encoding="utf-8"?>
<ds:datastoreItem xmlns:ds="http://schemas.openxmlformats.org/officeDocument/2006/customXml" ds:itemID="{E950D8C7-DA31-410C-B6A7-1478EAEAB7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Kołodziejczyk Grzegorz</dc:creator>
  <cp:keywords>#Kategoria: [Wewnętrzne/Dane osobowe &lt; 10 wpisów]# </cp:keywords>
  <dc:description/>
  <cp:lastModifiedBy>Kędziora Roman</cp:lastModifiedBy>
  <cp:revision>7</cp:revision>
  <cp:lastPrinted>2024-12-12T10:04:00Z</cp:lastPrinted>
  <dcterms:created xsi:type="dcterms:W3CDTF">2024-12-17T11:43:00Z</dcterms:created>
  <dcterms:modified xsi:type="dcterms:W3CDTF">2025-01-24T13:24:00Z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5b976e49-fbe1-4daa-9d66-b7f17f5e8fd0</vt:lpwstr>
  </property>
  <property fmtid="{D5CDD505-2E9C-101B-9397-08002B2CF9AE}" pid="3" name="bjSaver">
    <vt:lpwstr>Al5UxxJbA+NkeCzunJVluyA8lclwtE9x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uid="6ae41dc2-d6e3-43de-956f-09b682450a97" value="" /&gt;&lt;/sisl&gt;</vt:lpwstr>
  </property>
  <property fmtid="{D5CDD505-2E9C-101B-9397-08002B2CF9AE}" pid="6" name="bjDocumentSecurityLabel">
    <vt:lpwstr>Kategoria: Wewnętrzne/Dane osobowe &lt; 10 wpisów</vt:lpwstr>
  </property>
</Properties>
</file>