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0F61" w14:textId="77777777" w:rsidR="00170E55" w:rsidRPr="00F81E98" w:rsidRDefault="00170E55" w:rsidP="006031DE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F81E98">
        <w:rPr>
          <w:rFonts w:ascii="Verdana" w:hAnsi="Verdana" w:cs="Arial"/>
          <w:sz w:val="18"/>
          <w:szCs w:val="18"/>
        </w:rPr>
        <w:t xml:space="preserve">Załącznik </w:t>
      </w:r>
      <w:r w:rsidR="00FE6379" w:rsidRPr="00F81E98">
        <w:rPr>
          <w:rFonts w:ascii="Verdana" w:hAnsi="Verdana" w:cs="Arial"/>
          <w:sz w:val="18"/>
          <w:szCs w:val="18"/>
        </w:rPr>
        <w:t>Nr 3</w:t>
      </w:r>
      <w:r w:rsidR="0071489C" w:rsidRPr="00F81E98">
        <w:rPr>
          <w:rFonts w:ascii="Verdana" w:hAnsi="Verdana" w:cs="Arial"/>
          <w:sz w:val="18"/>
          <w:szCs w:val="18"/>
        </w:rPr>
        <w:t xml:space="preserve"> </w:t>
      </w:r>
      <w:r w:rsidRPr="00F81E98">
        <w:rPr>
          <w:rFonts w:ascii="Verdana" w:hAnsi="Verdana" w:cs="Arial"/>
          <w:sz w:val="18"/>
          <w:szCs w:val="18"/>
        </w:rPr>
        <w:t xml:space="preserve">do Uchwały Nr </w:t>
      </w:r>
      <w:r w:rsidR="008B7DC3" w:rsidRPr="00F81E98">
        <w:rPr>
          <w:rFonts w:ascii="Verdana" w:hAnsi="Verdana" w:cs="Arial"/>
          <w:sz w:val="18"/>
          <w:szCs w:val="18"/>
        </w:rPr>
        <w:t>8</w:t>
      </w:r>
      <w:r w:rsidRPr="00F81E98">
        <w:rPr>
          <w:rFonts w:ascii="Verdana" w:hAnsi="Verdana" w:cs="Arial"/>
          <w:sz w:val="18"/>
          <w:szCs w:val="18"/>
        </w:rPr>
        <w:t>/2018</w:t>
      </w:r>
    </w:p>
    <w:p w14:paraId="7278D720" w14:textId="77777777" w:rsidR="00170E55" w:rsidRPr="00F81E98" w:rsidRDefault="00170E55" w:rsidP="006031DE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F81E98">
        <w:rPr>
          <w:rFonts w:ascii="Verdana" w:hAnsi="Verdana" w:cs="Arial"/>
          <w:sz w:val="18"/>
          <w:szCs w:val="18"/>
        </w:rPr>
        <w:t>Zarządu Giełdy Papierów Wartościowych w Warszawie S.A.</w:t>
      </w:r>
    </w:p>
    <w:p w14:paraId="20E1CD21" w14:textId="7AFE2316" w:rsidR="00170E55" w:rsidRPr="00F81E98" w:rsidRDefault="00170E55" w:rsidP="006031DE">
      <w:pPr>
        <w:spacing w:line="360" w:lineRule="auto"/>
        <w:rPr>
          <w:rFonts w:ascii="Verdana" w:hAnsi="Verdana" w:cs="Arial"/>
          <w:sz w:val="18"/>
          <w:szCs w:val="18"/>
        </w:rPr>
      </w:pPr>
      <w:r w:rsidRPr="00F81E98">
        <w:rPr>
          <w:rFonts w:ascii="Verdana" w:hAnsi="Verdana" w:cs="Arial"/>
          <w:sz w:val="18"/>
          <w:szCs w:val="18"/>
        </w:rPr>
        <w:t xml:space="preserve">z dnia </w:t>
      </w:r>
      <w:r w:rsidR="008B7DC3" w:rsidRPr="00F81E98">
        <w:rPr>
          <w:rFonts w:ascii="Verdana" w:hAnsi="Verdana" w:cs="Arial"/>
          <w:sz w:val="18"/>
          <w:szCs w:val="18"/>
        </w:rPr>
        <w:t>3</w:t>
      </w:r>
      <w:r w:rsidRPr="00F81E98">
        <w:rPr>
          <w:rFonts w:ascii="Verdana" w:hAnsi="Verdana" w:cs="Arial"/>
          <w:sz w:val="18"/>
          <w:szCs w:val="18"/>
        </w:rPr>
        <w:t xml:space="preserve"> stycznia 2018 r.</w:t>
      </w:r>
      <w:r w:rsidRPr="00F81E98">
        <w:rPr>
          <w:rFonts w:ascii="Verdana" w:hAnsi="Verdana" w:cs="Arial"/>
          <w:b/>
          <w:sz w:val="18"/>
          <w:szCs w:val="18"/>
        </w:rPr>
        <w:t xml:space="preserve"> </w:t>
      </w:r>
      <w:r w:rsidR="0077792D" w:rsidRPr="00F81E98">
        <w:rPr>
          <w:rFonts w:ascii="Verdana" w:hAnsi="Verdana" w:cs="Arial"/>
          <w:sz w:val="18"/>
          <w:szCs w:val="18"/>
        </w:rPr>
        <w:t>(z późn. zm.)</w:t>
      </w:r>
    </w:p>
    <w:p w14:paraId="1187310D" w14:textId="77777777" w:rsidR="00170E55" w:rsidRPr="00F81E98" w:rsidRDefault="00170E55" w:rsidP="006031DE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3C68E831" w14:textId="77777777" w:rsidR="00AE4458" w:rsidRPr="00F81E98" w:rsidRDefault="00AE4458" w:rsidP="006031DE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1FA07E36" w14:textId="77777777" w:rsidR="004A4834" w:rsidRPr="00F81E98" w:rsidRDefault="004A4834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81E98">
        <w:rPr>
          <w:rFonts w:ascii="Verdana" w:hAnsi="Verdana" w:cs="Arial"/>
          <w:b/>
          <w:sz w:val="20"/>
          <w:szCs w:val="20"/>
        </w:rPr>
        <w:t xml:space="preserve">Zasady </w:t>
      </w:r>
      <w:r w:rsidR="00170E55" w:rsidRPr="00F81E98">
        <w:rPr>
          <w:rFonts w:ascii="Verdana" w:hAnsi="Verdana" w:cs="Arial"/>
          <w:b/>
          <w:sz w:val="20"/>
          <w:szCs w:val="20"/>
        </w:rPr>
        <w:t xml:space="preserve">udziału </w:t>
      </w:r>
      <w:r w:rsidRPr="00F81E98">
        <w:rPr>
          <w:rFonts w:ascii="Verdana" w:hAnsi="Verdana" w:cs="Arial"/>
          <w:b/>
          <w:sz w:val="20"/>
          <w:szCs w:val="20"/>
        </w:rPr>
        <w:t xml:space="preserve">animatorów rynku w programie zachęt </w:t>
      </w:r>
    </w:p>
    <w:p w14:paraId="6B16B25C" w14:textId="77777777" w:rsidR="00170E55" w:rsidRPr="00F81E98" w:rsidRDefault="00823E23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81E98">
        <w:rPr>
          <w:rFonts w:ascii="Verdana" w:hAnsi="Verdana"/>
          <w:b/>
          <w:sz w:val="20"/>
          <w:szCs w:val="20"/>
        </w:rPr>
        <w:t>„</w:t>
      </w:r>
      <w:r w:rsidR="00170E55" w:rsidRPr="00F81E98">
        <w:rPr>
          <w:rFonts w:ascii="Verdana" w:hAnsi="Verdana"/>
          <w:b/>
          <w:sz w:val="20"/>
          <w:szCs w:val="20"/>
        </w:rPr>
        <w:t xml:space="preserve">SuperAnimator </w:t>
      </w:r>
      <w:r w:rsidRPr="00F81E98">
        <w:rPr>
          <w:rFonts w:ascii="Verdana" w:hAnsi="Verdana"/>
          <w:b/>
          <w:sz w:val="20"/>
          <w:szCs w:val="20"/>
        </w:rPr>
        <w:t>KONTRAKTY AKCYJNE”</w:t>
      </w:r>
      <w:r w:rsidR="00822E00" w:rsidRPr="00F81E98">
        <w:rPr>
          <w:rFonts w:ascii="Verdana" w:hAnsi="Verdana" w:cs="Arial"/>
          <w:b/>
          <w:sz w:val="20"/>
          <w:szCs w:val="20"/>
        </w:rPr>
        <w:t xml:space="preserve"> </w:t>
      </w:r>
    </w:p>
    <w:p w14:paraId="60C55DF8" w14:textId="77777777" w:rsidR="0071489C" w:rsidRPr="00F81E98" w:rsidRDefault="0071489C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EB2D853" w14:textId="0045B122" w:rsidR="00D03DCF" w:rsidRPr="00F81E98" w:rsidRDefault="00D03DCF" w:rsidP="00D03DC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81E98">
        <w:rPr>
          <w:rFonts w:ascii="Verdana" w:hAnsi="Verdana" w:cs="Arial"/>
          <w:b/>
          <w:sz w:val="20"/>
          <w:szCs w:val="20"/>
        </w:rPr>
        <w:t xml:space="preserve">(według stanu prawnego na dzień </w:t>
      </w:r>
      <w:bookmarkStart w:id="0" w:name="_Hlk176969925"/>
      <w:r w:rsidR="001D4A8A" w:rsidRPr="00F81E98">
        <w:rPr>
          <w:rFonts w:ascii="Verdana" w:hAnsi="Verdana" w:cs="Arial"/>
          <w:b/>
          <w:sz w:val="20"/>
          <w:szCs w:val="20"/>
        </w:rPr>
        <w:t xml:space="preserve">1 </w:t>
      </w:r>
      <w:r w:rsidR="00844196">
        <w:rPr>
          <w:rFonts w:ascii="Verdana" w:hAnsi="Verdana" w:cs="Arial"/>
          <w:b/>
          <w:sz w:val="20"/>
          <w:szCs w:val="20"/>
        </w:rPr>
        <w:t>maja</w:t>
      </w:r>
      <w:r w:rsidR="001D4A8A" w:rsidRPr="00F81E98">
        <w:rPr>
          <w:rFonts w:ascii="Verdana" w:hAnsi="Verdana" w:cs="Arial"/>
          <w:b/>
          <w:sz w:val="20"/>
          <w:szCs w:val="20"/>
        </w:rPr>
        <w:t xml:space="preserve"> 202</w:t>
      </w:r>
      <w:r w:rsidR="00844196">
        <w:rPr>
          <w:rFonts w:ascii="Verdana" w:hAnsi="Verdana" w:cs="Arial"/>
          <w:b/>
          <w:sz w:val="20"/>
          <w:szCs w:val="20"/>
        </w:rPr>
        <w:t>6</w:t>
      </w:r>
      <w:r w:rsidR="001D4A8A" w:rsidRPr="00F81E98">
        <w:rPr>
          <w:rFonts w:ascii="Verdana" w:hAnsi="Verdana" w:cs="Arial"/>
          <w:b/>
          <w:sz w:val="20"/>
          <w:szCs w:val="20"/>
        </w:rPr>
        <w:t xml:space="preserve"> </w:t>
      </w:r>
      <w:bookmarkEnd w:id="0"/>
      <w:r w:rsidRPr="00F81E98">
        <w:rPr>
          <w:rFonts w:ascii="Verdana" w:hAnsi="Verdana" w:cs="Arial"/>
          <w:b/>
          <w:sz w:val="20"/>
          <w:szCs w:val="20"/>
        </w:rPr>
        <w:t>r.)</w:t>
      </w:r>
    </w:p>
    <w:p w14:paraId="7E21AAD6" w14:textId="77777777" w:rsidR="00913A07" w:rsidRPr="00F81E98" w:rsidRDefault="00913A07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CA3C6E8" w14:textId="77777777" w:rsidR="00170E55" w:rsidRPr="00F81E98" w:rsidRDefault="00170E55" w:rsidP="006031D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2129329" w14:textId="77777777" w:rsidR="00170E55" w:rsidRPr="00F81E98" w:rsidRDefault="00170E55" w:rsidP="006031DE">
      <w:pPr>
        <w:pStyle w:val="Akapitzlist"/>
        <w:numPr>
          <w:ilvl w:val="3"/>
          <w:numId w:val="1"/>
        </w:numPr>
        <w:spacing w:after="120" w:line="360" w:lineRule="auto"/>
        <w:ind w:left="567" w:hanging="567"/>
        <w:rPr>
          <w:rFonts w:ascii="Verdana" w:hAnsi="Verdana" w:cs="Arial"/>
          <w:b/>
          <w:sz w:val="20"/>
          <w:szCs w:val="20"/>
        </w:rPr>
      </w:pPr>
      <w:r w:rsidRPr="00F81E98">
        <w:rPr>
          <w:rFonts w:ascii="Verdana" w:hAnsi="Verdana" w:cs="Arial"/>
          <w:b/>
          <w:sz w:val="20"/>
          <w:szCs w:val="20"/>
        </w:rPr>
        <w:t xml:space="preserve">Warunki </w:t>
      </w:r>
      <w:r w:rsidR="004A4834" w:rsidRPr="00F81E98">
        <w:rPr>
          <w:rFonts w:ascii="Verdana" w:hAnsi="Verdana" w:cs="Arial"/>
          <w:b/>
          <w:sz w:val="20"/>
          <w:szCs w:val="20"/>
        </w:rPr>
        <w:t>ogólne</w:t>
      </w:r>
      <w:r w:rsidR="004541EC" w:rsidRPr="00F81E98">
        <w:rPr>
          <w:rFonts w:ascii="Verdana" w:hAnsi="Verdana" w:cs="Arial"/>
          <w:b/>
          <w:sz w:val="20"/>
          <w:szCs w:val="20"/>
        </w:rPr>
        <w:t xml:space="preserve"> udziału w Programie</w:t>
      </w:r>
      <w:r w:rsidR="004A4834" w:rsidRPr="00F81E98">
        <w:rPr>
          <w:rFonts w:ascii="Verdana" w:hAnsi="Verdana" w:cs="Arial"/>
          <w:b/>
          <w:sz w:val="20"/>
          <w:szCs w:val="20"/>
        </w:rPr>
        <w:t xml:space="preserve">. </w:t>
      </w:r>
    </w:p>
    <w:p w14:paraId="7DA486D9" w14:textId="77777777" w:rsidR="00170E55" w:rsidRPr="00F81E98" w:rsidRDefault="00170E55" w:rsidP="006031DE">
      <w:pPr>
        <w:pStyle w:val="Akapitzlist"/>
        <w:spacing w:after="120" w:line="360" w:lineRule="auto"/>
        <w:ind w:left="2880"/>
        <w:rPr>
          <w:rFonts w:ascii="Verdana" w:hAnsi="Verdana" w:cs="Arial"/>
          <w:b/>
          <w:sz w:val="20"/>
          <w:szCs w:val="20"/>
        </w:rPr>
      </w:pPr>
    </w:p>
    <w:p w14:paraId="2BD635CF" w14:textId="77777777" w:rsidR="00170E55" w:rsidRPr="00F81E98" w:rsidRDefault="00170E55" w:rsidP="006031D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Program </w:t>
      </w:r>
      <w:r w:rsidR="004A4834" w:rsidRPr="00F81E98">
        <w:rPr>
          <w:rFonts w:ascii="Verdana" w:hAnsi="Verdana"/>
          <w:sz w:val="20"/>
          <w:szCs w:val="20"/>
        </w:rPr>
        <w:t xml:space="preserve">zachęt, w rozumieniu § 84 ust. 1a Regulaminu Giełdy, </w:t>
      </w:r>
      <w:r w:rsidR="00B24B95" w:rsidRPr="00F81E98">
        <w:rPr>
          <w:rFonts w:ascii="Verdana" w:hAnsi="Verdana"/>
          <w:sz w:val="20"/>
          <w:szCs w:val="20"/>
        </w:rPr>
        <w:br/>
      </w:r>
      <w:r w:rsidR="004A4834" w:rsidRPr="00F81E98">
        <w:rPr>
          <w:rFonts w:ascii="Verdana" w:hAnsi="Verdana"/>
          <w:sz w:val="20"/>
          <w:szCs w:val="20"/>
        </w:rPr>
        <w:t xml:space="preserve">dla podmiotów </w:t>
      </w:r>
      <w:r w:rsidR="004A4834" w:rsidRPr="00F81E98">
        <w:rPr>
          <w:rFonts w:ascii="Verdana" w:hAnsi="Verdana" w:cs="Arial"/>
          <w:sz w:val="20"/>
          <w:szCs w:val="20"/>
        </w:rPr>
        <w:t>wykon</w:t>
      </w:r>
      <w:r w:rsidR="00823E23" w:rsidRPr="00F81E98">
        <w:rPr>
          <w:rFonts w:ascii="Verdana" w:hAnsi="Verdana" w:cs="Arial"/>
          <w:sz w:val="20"/>
          <w:szCs w:val="20"/>
        </w:rPr>
        <w:t xml:space="preserve">ujących zadania animatora rynku, </w:t>
      </w:r>
      <w:r w:rsidR="004A4834" w:rsidRPr="00F81E98">
        <w:rPr>
          <w:rFonts w:ascii="Verdana" w:hAnsi="Verdana" w:cs="Arial"/>
          <w:sz w:val="20"/>
          <w:szCs w:val="20"/>
        </w:rPr>
        <w:t xml:space="preserve">zwany dalej „programem  </w:t>
      </w:r>
      <w:r w:rsidRPr="00F81E98">
        <w:rPr>
          <w:rFonts w:ascii="Verdana" w:hAnsi="Verdana"/>
          <w:sz w:val="20"/>
          <w:szCs w:val="20"/>
        </w:rPr>
        <w:t xml:space="preserve">SuperAnimator </w:t>
      </w:r>
      <w:r w:rsidR="00823E23" w:rsidRPr="00F81E98">
        <w:rPr>
          <w:rFonts w:ascii="Verdana" w:hAnsi="Verdana"/>
          <w:sz w:val="20"/>
          <w:szCs w:val="20"/>
        </w:rPr>
        <w:t>KONTRAKTY AKCYJNE</w:t>
      </w:r>
      <w:r w:rsidR="0071489C" w:rsidRPr="00F81E98">
        <w:rPr>
          <w:rFonts w:ascii="Verdana" w:hAnsi="Verdana"/>
          <w:sz w:val="20"/>
          <w:szCs w:val="20"/>
        </w:rPr>
        <w:t>”</w:t>
      </w:r>
      <w:r w:rsidR="004A4834" w:rsidRPr="00F81E98">
        <w:rPr>
          <w:rFonts w:ascii="Verdana" w:hAnsi="Verdana"/>
          <w:sz w:val="20"/>
          <w:szCs w:val="20"/>
        </w:rPr>
        <w:t xml:space="preserve"> lub „</w:t>
      </w:r>
      <w:r w:rsidRPr="00F81E98">
        <w:rPr>
          <w:rFonts w:ascii="Verdana" w:hAnsi="Verdana"/>
          <w:sz w:val="20"/>
          <w:szCs w:val="20"/>
        </w:rPr>
        <w:t>Program</w:t>
      </w:r>
      <w:r w:rsidR="004A4834" w:rsidRPr="00F81E98">
        <w:rPr>
          <w:rFonts w:ascii="Verdana" w:hAnsi="Verdana"/>
          <w:sz w:val="20"/>
          <w:szCs w:val="20"/>
        </w:rPr>
        <w:t>em</w:t>
      </w:r>
      <w:r w:rsidRPr="00F81E98">
        <w:rPr>
          <w:rFonts w:ascii="Verdana" w:hAnsi="Verdana"/>
          <w:sz w:val="20"/>
          <w:szCs w:val="20"/>
        </w:rPr>
        <w:t>”</w:t>
      </w:r>
      <w:r w:rsidR="004A4834" w:rsidRPr="00F81E98">
        <w:rPr>
          <w:rFonts w:ascii="Verdana" w:hAnsi="Verdana"/>
          <w:sz w:val="20"/>
          <w:szCs w:val="20"/>
        </w:rPr>
        <w:t xml:space="preserve">, </w:t>
      </w:r>
      <w:r w:rsidRPr="00F81E98">
        <w:rPr>
          <w:rFonts w:ascii="Verdana" w:hAnsi="Verdana"/>
          <w:sz w:val="20"/>
          <w:szCs w:val="20"/>
        </w:rPr>
        <w:t xml:space="preserve">dotyczy wspomagania płynności </w:t>
      </w:r>
      <w:r w:rsidR="00E97C22" w:rsidRPr="00F81E98">
        <w:rPr>
          <w:rFonts w:ascii="Verdana" w:hAnsi="Verdana"/>
          <w:sz w:val="20"/>
          <w:szCs w:val="20"/>
        </w:rPr>
        <w:t xml:space="preserve">obrotu </w:t>
      </w:r>
      <w:r w:rsidR="0071489C" w:rsidRPr="00F81E98">
        <w:rPr>
          <w:rFonts w:ascii="Verdana" w:hAnsi="Verdana"/>
          <w:sz w:val="20"/>
          <w:szCs w:val="20"/>
        </w:rPr>
        <w:t xml:space="preserve">kontraktami terminowymi na </w:t>
      </w:r>
      <w:r w:rsidR="00823E23" w:rsidRPr="00F81E98">
        <w:rPr>
          <w:rFonts w:ascii="Verdana" w:hAnsi="Verdana"/>
          <w:sz w:val="20"/>
          <w:szCs w:val="20"/>
        </w:rPr>
        <w:t>akcje</w:t>
      </w:r>
      <w:r w:rsidR="004A4834" w:rsidRPr="00F81E98">
        <w:rPr>
          <w:rFonts w:ascii="Verdana" w:hAnsi="Verdana"/>
          <w:sz w:val="20"/>
          <w:szCs w:val="20"/>
        </w:rPr>
        <w:t xml:space="preserve">, zgodnie </w:t>
      </w:r>
      <w:r w:rsidR="00823E23" w:rsidRPr="00F81E98">
        <w:rPr>
          <w:rFonts w:ascii="Verdana" w:hAnsi="Verdana"/>
          <w:sz w:val="20"/>
          <w:szCs w:val="20"/>
        </w:rPr>
        <w:br/>
      </w:r>
      <w:r w:rsidR="00423D07" w:rsidRPr="00F81E98">
        <w:rPr>
          <w:rFonts w:ascii="Verdana" w:hAnsi="Verdana" w:cs="Arial"/>
          <w:sz w:val="20"/>
          <w:szCs w:val="20"/>
        </w:rPr>
        <w:t>z wymogami i dodatkowymi warunkami animowania określonymi w niniejszym Załączniku</w:t>
      </w:r>
      <w:r w:rsidR="004A4834" w:rsidRPr="00F81E98">
        <w:rPr>
          <w:rFonts w:ascii="Verdana" w:hAnsi="Verdana"/>
          <w:sz w:val="20"/>
          <w:szCs w:val="20"/>
        </w:rPr>
        <w:t xml:space="preserve">. </w:t>
      </w:r>
    </w:p>
    <w:p w14:paraId="53DB0D28" w14:textId="77777777" w:rsidR="00682426" w:rsidRPr="00F81E98" w:rsidRDefault="00682426" w:rsidP="0068242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59491E6" w14:textId="77777777" w:rsidR="00682426" w:rsidRPr="00F81E98" w:rsidRDefault="00682426" w:rsidP="00682426">
      <w:pPr>
        <w:spacing w:after="120" w:line="360" w:lineRule="auto"/>
        <w:ind w:left="567" w:hanging="283"/>
        <w:jc w:val="both"/>
        <w:rPr>
          <w:rFonts w:ascii="Verdana" w:hAnsi="Verdana" w:cs="Arial"/>
          <w:sz w:val="20"/>
          <w:szCs w:val="20"/>
          <w:lang w:bidi="en-US"/>
        </w:rPr>
      </w:pPr>
      <w:r w:rsidRPr="00F81E98">
        <w:rPr>
          <w:rFonts w:ascii="Verdana" w:hAnsi="Verdana"/>
          <w:b/>
          <w:bCs/>
          <w:sz w:val="20"/>
          <w:szCs w:val="20"/>
        </w:rPr>
        <w:t>1a.</w:t>
      </w:r>
      <w:r w:rsidRPr="00F81E98">
        <w:rPr>
          <w:rFonts w:ascii="Verdana" w:hAnsi="Verdana"/>
          <w:sz w:val="20"/>
          <w:szCs w:val="20"/>
        </w:rPr>
        <w:t xml:space="preserve"> Z zastrzeżeniem pkt 2, do udziału w Programie może przystąpić członek giełdy, spełniający </w:t>
      </w:r>
      <w:r w:rsidRPr="00F81E98">
        <w:rPr>
          <w:rFonts w:ascii="Verdana" w:hAnsi="Verdana" w:cs="Arial"/>
          <w:sz w:val="20"/>
          <w:szCs w:val="20"/>
          <w:lang w:bidi="en-US"/>
        </w:rPr>
        <w:t xml:space="preserve">łącznie poniższe wymogi: </w:t>
      </w:r>
    </w:p>
    <w:p w14:paraId="7FADDA46" w14:textId="77777777" w:rsidR="00682426" w:rsidRPr="00F81E98" w:rsidRDefault="00114482" w:rsidP="00682426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  <w:rPr>
          <w:rFonts w:ascii="Verdana" w:hAnsi="Verdana" w:cs="Consolas"/>
          <w:sz w:val="20"/>
          <w:szCs w:val="20"/>
          <w:lang w:eastAsia="pl-PL"/>
        </w:rPr>
      </w:pPr>
      <w:r w:rsidRPr="00F81E98">
        <w:rPr>
          <w:rFonts w:ascii="Verdana" w:hAnsi="Verdana" w:cs="Arial"/>
          <w:sz w:val="20"/>
          <w:szCs w:val="20"/>
          <w:lang w:bidi="en-US"/>
        </w:rPr>
        <w:t xml:space="preserve">jest uprawniony do działania, na rachunek własny i na rachunek klienta, </w:t>
      </w:r>
      <w:r w:rsidRPr="00F81E98">
        <w:rPr>
          <w:rFonts w:ascii="Verdana" w:hAnsi="Verdana" w:cs="Arial"/>
          <w:sz w:val="20"/>
          <w:szCs w:val="20"/>
          <w:lang w:bidi="en-US"/>
        </w:rPr>
        <w:br/>
        <w:t xml:space="preserve">w zakresie obrotu papierami wartościowymi i instrumentami pochodnymi </w:t>
      </w:r>
      <w:r w:rsidRPr="00F81E98">
        <w:rPr>
          <w:rFonts w:ascii="Verdana" w:hAnsi="Verdana" w:cs="Arial"/>
          <w:sz w:val="20"/>
          <w:szCs w:val="20"/>
          <w:lang w:bidi="en-US"/>
        </w:rPr>
        <w:br/>
        <w:t xml:space="preserve">na Głównym Rynku GPW, przy czym zakres uprawnienia do działania </w:t>
      </w:r>
      <w:r w:rsidRPr="00F81E98">
        <w:rPr>
          <w:rFonts w:ascii="Verdana" w:hAnsi="Verdana" w:cs="Arial"/>
          <w:sz w:val="20"/>
          <w:szCs w:val="20"/>
          <w:lang w:bidi="en-US"/>
        </w:rPr>
        <w:br/>
        <w:t xml:space="preserve">ustala się na podstawie odpowiedniej uchwały Zarządu Giełdy określającej datę rozpoczęcia działania w danym zakresie, o której mowa w § 70 </w:t>
      </w:r>
      <w:r w:rsidRPr="00F81E98">
        <w:rPr>
          <w:rFonts w:ascii="Verdana" w:hAnsi="Verdana" w:cs="Arial"/>
          <w:sz w:val="20"/>
          <w:szCs w:val="20"/>
          <w:lang w:bidi="en-US"/>
        </w:rPr>
        <w:br/>
        <w:t>ust. 1 Regulaminu Giełdy</w:t>
      </w:r>
      <w:r w:rsidR="00682426" w:rsidRPr="00F81E98">
        <w:rPr>
          <w:rFonts w:ascii="Verdana" w:hAnsi="Verdana" w:cs="Consolas"/>
          <w:sz w:val="20"/>
          <w:szCs w:val="20"/>
          <w:lang w:eastAsia="pl-PL"/>
        </w:rPr>
        <w:t xml:space="preserve">, </w:t>
      </w:r>
      <w:r w:rsidR="00682426" w:rsidRPr="00F81E98">
        <w:rPr>
          <w:rFonts w:ascii="Verdana" w:hAnsi="Verdana" w:cs="Arial"/>
          <w:sz w:val="20"/>
          <w:szCs w:val="20"/>
          <w:lang w:bidi="en-US"/>
        </w:rPr>
        <w:t xml:space="preserve">oraz </w:t>
      </w:r>
    </w:p>
    <w:p w14:paraId="4B9BB8B3" w14:textId="77777777" w:rsidR="00682426" w:rsidRPr="00F81E98" w:rsidRDefault="00114482" w:rsidP="00682426">
      <w:pPr>
        <w:pStyle w:val="Akapitzlist"/>
        <w:numPr>
          <w:ilvl w:val="0"/>
          <w:numId w:val="19"/>
        </w:numPr>
        <w:spacing w:after="120" w:line="360" w:lineRule="auto"/>
        <w:contextualSpacing w:val="0"/>
        <w:jc w:val="both"/>
      </w:pPr>
      <w:r w:rsidRPr="00F81E98">
        <w:rPr>
          <w:rFonts w:ascii="Verdana" w:hAnsi="Verdana" w:cs="Arial"/>
          <w:sz w:val="20"/>
          <w:szCs w:val="20"/>
          <w:lang w:bidi="en-US"/>
        </w:rPr>
        <w:t xml:space="preserve">jest uprawniony do działania, na rachunek własny i na rachunek klienta, </w:t>
      </w:r>
      <w:r w:rsidRPr="00F81E98">
        <w:rPr>
          <w:rFonts w:ascii="Verdana" w:hAnsi="Verdana" w:cs="Arial"/>
          <w:sz w:val="20"/>
          <w:szCs w:val="20"/>
          <w:lang w:bidi="en-US"/>
        </w:rPr>
        <w:br/>
        <w:t xml:space="preserve">w charakterze Członka Rynku w alternatywnym systemie obrotu na rynku NewConnect, przy czym zakres uprawnienia do działania ustala się </w:t>
      </w:r>
      <w:r w:rsidRPr="00F81E98">
        <w:rPr>
          <w:rFonts w:ascii="Verdana" w:hAnsi="Verdana" w:cs="Arial"/>
          <w:sz w:val="20"/>
          <w:szCs w:val="20"/>
          <w:lang w:bidi="en-US"/>
        </w:rPr>
        <w:br/>
        <w:t>na podstawie odpowiedniej uchwały Zarządu Giełdy określającej datę rozpoczęcia działania w danym zakresie, o której mowa w § 19 ust. 1 Regulaminu Alternatywnego Systemu Obrotu</w:t>
      </w:r>
      <w:r w:rsidR="00682426" w:rsidRPr="00F81E98">
        <w:rPr>
          <w:rFonts w:ascii="Verdana" w:hAnsi="Verdana" w:cs="Arial"/>
          <w:sz w:val="20"/>
          <w:szCs w:val="20"/>
          <w:lang w:bidi="en-US"/>
        </w:rPr>
        <w:t xml:space="preserve">.  </w:t>
      </w:r>
    </w:p>
    <w:p w14:paraId="30097BE0" w14:textId="77777777" w:rsidR="00170E55" w:rsidRPr="00F81E98" w:rsidRDefault="00114482" w:rsidP="006031D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lastRenderedPageBreak/>
        <w:t xml:space="preserve">Do udziału w Programie może przystąpić członek giełdy będący animatorem rynku (dalej „Animator Rynku”), który zawrze z Giełdą umowę </w:t>
      </w:r>
      <w:r w:rsidRPr="00F81E98">
        <w:rPr>
          <w:rFonts w:ascii="Verdana" w:hAnsi="Verdana"/>
          <w:sz w:val="20"/>
          <w:szCs w:val="20"/>
        </w:rPr>
        <w:br/>
        <w:t xml:space="preserve">o animowanie, zgodną ze wzorem przekazanym przez GPW (dalej „Umowa”), </w:t>
      </w:r>
      <w:r w:rsidRPr="00F81E98">
        <w:rPr>
          <w:rFonts w:ascii="Verdana" w:hAnsi="Verdana"/>
          <w:sz w:val="20"/>
          <w:szCs w:val="20"/>
        </w:rPr>
        <w:br/>
        <w:t xml:space="preserve">o której mowa w § 2 ust. 1 uchwały Zarządu Giełdy, do której załącznikiem </w:t>
      </w:r>
      <w:r w:rsidR="00331F31" w:rsidRPr="00F81E98">
        <w:rPr>
          <w:rFonts w:ascii="Verdana" w:hAnsi="Verdana"/>
          <w:sz w:val="20"/>
          <w:szCs w:val="20"/>
        </w:rPr>
        <w:br/>
      </w:r>
      <w:r w:rsidRPr="00F81E98">
        <w:rPr>
          <w:rFonts w:ascii="Verdana" w:hAnsi="Verdana"/>
          <w:sz w:val="20"/>
          <w:szCs w:val="20"/>
        </w:rPr>
        <w:t>są niniejsze Zasady (dalej „Uchwała”</w:t>
      </w:r>
      <w:r w:rsidR="0087317C" w:rsidRPr="00F81E98">
        <w:rPr>
          <w:rFonts w:ascii="Verdana" w:hAnsi="Verdana"/>
          <w:sz w:val="20"/>
          <w:szCs w:val="20"/>
        </w:rPr>
        <w:t xml:space="preserve">).   </w:t>
      </w:r>
    </w:p>
    <w:p w14:paraId="76E219D6" w14:textId="77777777" w:rsidR="0087317C" w:rsidRPr="00F81E98" w:rsidRDefault="0087317C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5B06224C" w14:textId="77777777" w:rsidR="00170E55" w:rsidRPr="00F81E98" w:rsidRDefault="00170E55" w:rsidP="006031D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Animator Rynku może zgłosić swój udział w Programie animowania </w:t>
      </w:r>
      <w:r w:rsidR="0071489C" w:rsidRPr="00F81E98">
        <w:rPr>
          <w:rFonts w:ascii="Verdana" w:hAnsi="Verdana"/>
          <w:sz w:val="20"/>
          <w:szCs w:val="20"/>
        </w:rPr>
        <w:t xml:space="preserve">kontraktów terminowych na </w:t>
      </w:r>
      <w:r w:rsidR="00823E23" w:rsidRPr="00F81E98">
        <w:rPr>
          <w:rFonts w:ascii="Verdana" w:hAnsi="Verdana"/>
          <w:sz w:val="20"/>
          <w:szCs w:val="20"/>
        </w:rPr>
        <w:t>akcje</w:t>
      </w:r>
      <w:r w:rsidR="00BB484D" w:rsidRPr="00F81E98">
        <w:rPr>
          <w:rFonts w:ascii="Verdana" w:hAnsi="Verdana"/>
          <w:sz w:val="20"/>
          <w:szCs w:val="20"/>
        </w:rPr>
        <w:t xml:space="preserve"> - w zakresie </w:t>
      </w:r>
      <w:r w:rsidRPr="00F81E98">
        <w:rPr>
          <w:rFonts w:ascii="Verdana" w:hAnsi="Verdana"/>
          <w:sz w:val="20"/>
          <w:szCs w:val="20"/>
        </w:rPr>
        <w:t xml:space="preserve">jednej lub </w:t>
      </w:r>
      <w:r w:rsidR="0026700B" w:rsidRPr="00F81E98">
        <w:rPr>
          <w:rFonts w:ascii="Verdana" w:hAnsi="Verdana"/>
          <w:sz w:val="20"/>
          <w:szCs w:val="20"/>
        </w:rPr>
        <w:t>wszystkich serii kontraktów na dany instrument bazowy</w:t>
      </w:r>
      <w:r w:rsidRPr="00F81E98">
        <w:rPr>
          <w:rFonts w:ascii="Verdana" w:hAnsi="Verdana"/>
          <w:sz w:val="20"/>
          <w:szCs w:val="20"/>
        </w:rPr>
        <w:t>.</w:t>
      </w:r>
    </w:p>
    <w:p w14:paraId="155EABAF" w14:textId="77777777" w:rsidR="00170E55" w:rsidRPr="00F81E98" w:rsidRDefault="00170E55" w:rsidP="006031DE">
      <w:pPr>
        <w:pStyle w:val="Akapitzlist"/>
        <w:spacing w:line="360" w:lineRule="auto"/>
        <w:rPr>
          <w:rFonts w:ascii="Verdana" w:hAnsi="Verdana"/>
          <w:bCs/>
          <w:sz w:val="20"/>
          <w:szCs w:val="20"/>
        </w:rPr>
      </w:pPr>
    </w:p>
    <w:p w14:paraId="6BED0587" w14:textId="77777777" w:rsidR="00170E55" w:rsidRPr="00F81E98" w:rsidRDefault="0087317C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bCs/>
          <w:sz w:val="20"/>
          <w:szCs w:val="20"/>
        </w:rPr>
        <w:t xml:space="preserve">Umowę, odpowiednio aneks do Umowy, </w:t>
      </w:r>
      <w:r w:rsidR="00921F73" w:rsidRPr="00F81E98">
        <w:rPr>
          <w:rFonts w:ascii="Verdana" w:hAnsi="Verdana"/>
          <w:bCs/>
          <w:sz w:val="20"/>
          <w:szCs w:val="20"/>
        </w:rPr>
        <w:t xml:space="preserve">zgodne ze wzorem przekazanym przez GPW, podpisaną/podpisany przez osobę upoważnioną/osoby upoważnione </w:t>
      </w:r>
      <w:r w:rsidR="0052487C" w:rsidRPr="00F81E98">
        <w:rPr>
          <w:rFonts w:ascii="Verdana" w:hAnsi="Verdana"/>
          <w:bCs/>
          <w:sz w:val="20"/>
          <w:szCs w:val="20"/>
        </w:rPr>
        <w:t>do składania oświadczeń woli w imieniu</w:t>
      </w:r>
      <w:r w:rsidR="00921F73" w:rsidRPr="00F81E98">
        <w:rPr>
          <w:rFonts w:ascii="Verdana" w:hAnsi="Verdana"/>
          <w:bCs/>
          <w:sz w:val="20"/>
          <w:szCs w:val="20"/>
        </w:rPr>
        <w:t xml:space="preserve"> Animatora Rynku należy </w:t>
      </w:r>
      <w:r w:rsidR="00170E55" w:rsidRPr="00F81E98">
        <w:rPr>
          <w:rFonts w:ascii="Verdana" w:hAnsi="Verdana"/>
          <w:bCs/>
          <w:sz w:val="20"/>
          <w:szCs w:val="20"/>
        </w:rPr>
        <w:t>prze</w:t>
      </w:r>
      <w:r w:rsidR="00921F73" w:rsidRPr="00F81E98">
        <w:rPr>
          <w:rFonts w:ascii="Verdana" w:hAnsi="Verdana"/>
          <w:bCs/>
          <w:sz w:val="20"/>
          <w:szCs w:val="20"/>
        </w:rPr>
        <w:t xml:space="preserve">kazać </w:t>
      </w:r>
      <w:r w:rsidR="0052487C" w:rsidRPr="00F81E98">
        <w:rPr>
          <w:rFonts w:ascii="Verdana" w:hAnsi="Verdana"/>
          <w:bCs/>
          <w:sz w:val="20"/>
          <w:szCs w:val="20"/>
        </w:rPr>
        <w:br/>
      </w:r>
      <w:r w:rsidR="00921F73" w:rsidRPr="00F81E98">
        <w:rPr>
          <w:rFonts w:ascii="Verdana" w:hAnsi="Verdana"/>
          <w:bCs/>
          <w:sz w:val="20"/>
          <w:szCs w:val="20"/>
        </w:rPr>
        <w:t xml:space="preserve">w wersji papierowej do GPW, co najmniej na </w:t>
      </w:r>
      <w:r w:rsidR="00170E55" w:rsidRPr="00F81E98">
        <w:rPr>
          <w:rFonts w:ascii="Verdana" w:hAnsi="Verdana"/>
          <w:bCs/>
          <w:sz w:val="20"/>
          <w:szCs w:val="20"/>
        </w:rPr>
        <w:t xml:space="preserve">5 dni roboczych przed </w:t>
      </w:r>
      <w:r w:rsidR="00921F73" w:rsidRPr="00F81E98">
        <w:rPr>
          <w:rFonts w:ascii="Verdana" w:hAnsi="Verdana"/>
          <w:bCs/>
          <w:sz w:val="20"/>
          <w:szCs w:val="20"/>
        </w:rPr>
        <w:t>upływem</w:t>
      </w:r>
      <w:r w:rsidR="00170E55" w:rsidRPr="00F81E98">
        <w:rPr>
          <w:rFonts w:ascii="Verdana" w:hAnsi="Verdana"/>
          <w:bCs/>
          <w:sz w:val="20"/>
          <w:szCs w:val="20"/>
        </w:rPr>
        <w:t xml:space="preserve"> miesiąca poprzedzającego miesiąc przystąpienia do Programu. </w:t>
      </w:r>
      <w:r w:rsidR="00921F73" w:rsidRPr="00F81E98">
        <w:rPr>
          <w:rFonts w:ascii="Verdana" w:hAnsi="Verdana"/>
          <w:bCs/>
          <w:sz w:val="20"/>
          <w:szCs w:val="20"/>
        </w:rPr>
        <w:t xml:space="preserve"> </w:t>
      </w:r>
    </w:p>
    <w:p w14:paraId="7EFA0BA4" w14:textId="77777777" w:rsidR="00170E55" w:rsidRPr="00F81E98" w:rsidRDefault="00170E55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599D9FAB" w14:textId="77777777" w:rsidR="00921F73" w:rsidRPr="00F81E98" w:rsidRDefault="00921F73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Spełnienie przez Animatora Rynku warunków, o których mowa </w:t>
      </w:r>
      <w:r w:rsidR="00767893" w:rsidRPr="00F81E98">
        <w:rPr>
          <w:rFonts w:ascii="Verdana" w:hAnsi="Verdana"/>
          <w:sz w:val="20"/>
          <w:szCs w:val="20"/>
        </w:rPr>
        <w:t>w pkt 4</w:t>
      </w:r>
      <w:r w:rsidRPr="00F81E98">
        <w:rPr>
          <w:rFonts w:ascii="Verdana" w:hAnsi="Verdana"/>
          <w:sz w:val="20"/>
          <w:szCs w:val="20"/>
        </w:rPr>
        <w:t xml:space="preserve">, skutkuje zawarciem danej Umowy, </w:t>
      </w:r>
      <w:r w:rsidRPr="00F81E98">
        <w:rPr>
          <w:rFonts w:ascii="Verdana" w:hAnsi="Verdana"/>
          <w:bCs/>
          <w:sz w:val="20"/>
          <w:szCs w:val="20"/>
        </w:rPr>
        <w:t xml:space="preserve">odpowiednio danego aneksu do Umowy, </w:t>
      </w:r>
      <w:r w:rsidR="004E6517" w:rsidRPr="00F81E98">
        <w:rPr>
          <w:rFonts w:ascii="Verdana" w:hAnsi="Verdana"/>
          <w:bCs/>
          <w:sz w:val="20"/>
          <w:szCs w:val="20"/>
        </w:rPr>
        <w:br/>
      </w:r>
      <w:r w:rsidR="0052487C" w:rsidRPr="00F81E98">
        <w:rPr>
          <w:rFonts w:ascii="Verdana" w:hAnsi="Verdana"/>
          <w:bCs/>
          <w:sz w:val="20"/>
          <w:szCs w:val="20"/>
        </w:rPr>
        <w:t>o ile Zarząd Giełdy przed upływem miesiąca poprzedzającego miesiąc planowanego przystąpienia do Programu nie wyrazi w tym zakresie sprzeciwu</w:t>
      </w:r>
      <w:r w:rsidR="00767893" w:rsidRPr="00F81E98">
        <w:rPr>
          <w:rFonts w:ascii="Verdana" w:hAnsi="Verdana"/>
          <w:bCs/>
          <w:sz w:val="20"/>
          <w:szCs w:val="20"/>
        </w:rPr>
        <w:t xml:space="preserve">. </w:t>
      </w:r>
      <w:r w:rsidRPr="00F81E98">
        <w:rPr>
          <w:rFonts w:ascii="Verdana" w:hAnsi="Verdana"/>
          <w:bCs/>
          <w:sz w:val="20"/>
          <w:szCs w:val="20"/>
        </w:rPr>
        <w:t xml:space="preserve"> </w:t>
      </w:r>
    </w:p>
    <w:p w14:paraId="0F033E2A" w14:textId="77777777" w:rsidR="00921F73" w:rsidRPr="00F81E98" w:rsidRDefault="00921F73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0A7478F9" w14:textId="77777777" w:rsidR="00170E55" w:rsidRPr="00F81E98" w:rsidRDefault="00767893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Z zastrzeżeniem pkt 5, r</w:t>
      </w:r>
      <w:r w:rsidR="00921F73" w:rsidRPr="00F81E98">
        <w:rPr>
          <w:rFonts w:ascii="Verdana" w:hAnsi="Verdana"/>
          <w:sz w:val="20"/>
          <w:szCs w:val="20"/>
        </w:rPr>
        <w:t>ozpoczęcie wykonywania zadań Animatora Ry</w:t>
      </w:r>
      <w:r w:rsidR="00170E55" w:rsidRPr="00F81E98">
        <w:rPr>
          <w:rFonts w:ascii="Verdana" w:hAnsi="Verdana"/>
          <w:sz w:val="20"/>
          <w:szCs w:val="20"/>
        </w:rPr>
        <w:t xml:space="preserve">nku według zasad określonych w Programie następuje w pierwszym dniu miesiąca </w:t>
      </w:r>
      <w:r w:rsidRPr="00F81E98">
        <w:rPr>
          <w:rFonts w:ascii="Verdana" w:hAnsi="Verdana"/>
          <w:sz w:val="20"/>
          <w:szCs w:val="20"/>
        </w:rPr>
        <w:t xml:space="preserve">kalendarzowego </w:t>
      </w:r>
      <w:r w:rsidR="00170E55" w:rsidRPr="00F81E98">
        <w:rPr>
          <w:rFonts w:ascii="Verdana" w:hAnsi="Verdana"/>
          <w:sz w:val="20"/>
          <w:szCs w:val="20"/>
        </w:rPr>
        <w:t>następującego</w:t>
      </w:r>
      <w:r w:rsidRPr="00F81E98">
        <w:rPr>
          <w:rFonts w:ascii="Verdana" w:hAnsi="Verdana"/>
          <w:sz w:val="20"/>
          <w:szCs w:val="20"/>
        </w:rPr>
        <w:t xml:space="preserve"> </w:t>
      </w:r>
      <w:r w:rsidR="00170E55" w:rsidRPr="00F81E98">
        <w:rPr>
          <w:rFonts w:ascii="Verdana" w:hAnsi="Verdana"/>
          <w:sz w:val="20"/>
          <w:szCs w:val="20"/>
        </w:rPr>
        <w:t xml:space="preserve">po miesiącu, w którym </w:t>
      </w:r>
      <w:r w:rsidR="00921F73" w:rsidRPr="00F81E98">
        <w:rPr>
          <w:rFonts w:ascii="Verdana" w:hAnsi="Verdana"/>
          <w:sz w:val="20"/>
          <w:szCs w:val="20"/>
        </w:rPr>
        <w:t>spełni</w:t>
      </w:r>
      <w:r w:rsidRPr="00F81E98">
        <w:rPr>
          <w:rFonts w:ascii="Verdana" w:hAnsi="Verdana"/>
          <w:sz w:val="20"/>
          <w:szCs w:val="20"/>
        </w:rPr>
        <w:t>one zostały przez Animatora Rynku warunki</w:t>
      </w:r>
      <w:r w:rsidR="00921F73" w:rsidRPr="00F81E98">
        <w:rPr>
          <w:rFonts w:ascii="Verdana" w:hAnsi="Verdana"/>
          <w:sz w:val="20"/>
          <w:szCs w:val="20"/>
        </w:rPr>
        <w:t xml:space="preserve"> </w:t>
      </w:r>
      <w:r w:rsidRPr="00F81E98">
        <w:rPr>
          <w:rFonts w:ascii="Verdana" w:hAnsi="Verdana"/>
          <w:sz w:val="20"/>
          <w:szCs w:val="20"/>
        </w:rPr>
        <w:t>określone</w:t>
      </w:r>
      <w:r w:rsidR="00921F73" w:rsidRPr="00F81E98">
        <w:rPr>
          <w:rFonts w:ascii="Verdana" w:hAnsi="Verdana"/>
          <w:sz w:val="20"/>
          <w:szCs w:val="20"/>
        </w:rPr>
        <w:t xml:space="preserve"> w pkt</w:t>
      </w:r>
      <w:r w:rsidRPr="00F81E98">
        <w:rPr>
          <w:rFonts w:ascii="Verdana" w:hAnsi="Verdana"/>
          <w:sz w:val="20"/>
          <w:szCs w:val="20"/>
        </w:rPr>
        <w:t xml:space="preserve"> 4. </w:t>
      </w:r>
      <w:r w:rsidR="00170E55" w:rsidRPr="00F81E98">
        <w:rPr>
          <w:rFonts w:ascii="Verdana" w:hAnsi="Verdana"/>
          <w:sz w:val="20"/>
          <w:szCs w:val="20"/>
        </w:rPr>
        <w:t xml:space="preserve"> </w:t>
      </w:r>
    </w:p>
    <w:p w14:paraId="3151A646" w14:textId="77777777" w:rsidR="00170E55" w:rsidRPr="00F81E98" w:rsidRDefault="00170E55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24649FA7" w14:textId="77777777" w:rsidR="00170E55" w:rsidRPr="00F81E98" w:rsidRDefault="00EF5354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Minimalne w</w:t>
      </w:r>
      <w:r w:rsidR="00767893" w:rsidRPr="00F81E98">
        <w:rPr>
          <w:rFonts w:ascii="Verdana" w:hAnsi="Verdana"/>
          <w:sz w:val="20"/>
          <w:szCs w:val="20"/>
        </w:rPr>
        <w:t xml:space="preserve">ymogi </w:t>
      </w:r>
      <w:r w:rsidRPr="00F81E98">
        <w:rPr>
          <w:rFonts w:ascii="Verdana" w:hAnsi="Verdana"/>
          <w:sz w:val="20"/>
          <w:szCs w:val="20"/>
        </w:rPr>
        <w:t xml:space="preserve">i dodatkowe warunki </w:t>
      </w:r>
      <w:r w:rsidR="00170E55" w:rsidRPr="00F81E98">
        <w:rPr>
          <w:rFonts w:ascii="Verdana" w:hAnsi="Verdana"/>
          <w:sz w:val="20"/>
          <w:szCs w:val="20"/>
        </w:rPr>
        <w:t>animowania</w:t>
      </w:r>
      <w:r w:rsidR="00767893" w:rsidRPr="00F81E98">
        <w:rPr>
          <w:rFonts w:ascii="Verdana" w:hAnsi="Verdana"/>
          <w:sz w:val="20"/>
          <w:szCs w:val="20"/>
        </w:rPr>
        <w:t xml:space="preserve"> w ramach Programu</w:t>
      </w:r>
      <w:r w:rsidR="00170E55" w:rsidRPr="00F81E98">
        <w:rPr>
          <w:rFonts w:ascii="Verdana" w:hAnsi="Verdana"/>
          <w:sz w:val="20"/>
          <w:szCs w:val="20"/>
        </w:rPr>
        <w:t>:</w:t>
      </w:r>
    </w:p>
    <w:p w14:paraId="434D8370" w14:textId="77777777" w:rsidR="00170E55" w:rsidRPr="00F81E98" w:rsidRDefault="00170E55" w:rsidP="006031D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0FB83B41" w14:textId="77777777" w:rsidR="00154D73" w:rsidRPr="00F81E98" w:rsidRDefault="00114482" w:rsidP="00154D73">
      <w:pPr>
        <w:pStyle w:val="Akapitzlist"/>
        <w:numPr>
          <w:ilvl w:val="4"/>
          <w:numId w:val="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1" w:name="_Hlk64380898"/>
      <w:r w:rsidRPr="00F81E98">
        <w:rPr>
          <w:rFonts w:ascii="Verdana" w:hAnsi="Verdana" w:cs="Lucida Sans Unicode"/>
          <w:sz w:val="20"/>
          <w:szCs w:val="20"/>
        </w:rPr>
        <w:t>Obecność w arkuszu zleceń dla danej klasy kontraktów terminowych wynosi w skali miesiąca kalendarzowego średnio co najmniej 80%, przy czym średnia ta jest ustalana na podstawie średniej obecności w arkuszu dla każdej serii kontraktów terminowych z danej klasy w danym miesiącu ważonej liczbą dni notowania danej serii</w:t>
      </w:r>
      <w:r w:rsidR="00154D73" w:rsidRPr="00F81E98">
        <w:rPr>
          <w:rFonts w:ascii="Verdana" w:hAnsi="Verdana"/>
          <w:sz w:val="20"/>
          <w:szCs w:val="20"/>
        </w:rPr>
        <w:t>;</w:t>
      </w:r>
    </w:p>
    <w:bookmarkEnd w:id="1"/>
    <w:p w14:paraId="29C5DEBE" w14:textId="77777777" w:rsidR="00170E55" w:rsidRPr="00F81E98" w:rsidRDefault="00E755EA" w:rsidP="006031DE">
      <w:pPr>
        <w:pStyle w:val="Akapitzlist"/>
        <w:numPr>
          <w:ilvl w:val="4"/>
          <w:numId w:val="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 w:cs="Lucida Sans Unicode"/>
          <w:sz w:val="20"/>
          <w:szCs w:val="20"/>
        </w:rPr>
        <w:t>Minimaln</w:t>
      </w:r>
      <w:r w:rsidR="00351ADE" w:rsidRPr="00F81E98">
        <w:rPr>
          <w:rFonts w:ascii="Verdana" w:hAnsi="Verdana" w:cs="Lucida Sans Unicode"/>
          <w:sz w:val="20"/>
          <w:szCs w:val="20"/>
        </w:rPr>
        <w:t xml:space="preserve">y </w:t>
      </w:r>
      <w:r w:rsidRPr="00F81E98">
        <w:rPr>
          <w:rFonts w:ascii="Verdana" w:hAnsi="Verdana" w:cs="Lucida Sans Unicode"/>
          <w:sz w:val="20"/>
          <w:szCs w:val="20"/>
        </w:rPr>
        <w:t>wolumen zleceń</w:t>
      </w:r>
      <w:r w:rsidR="00170E55" w:rsidRPr="00F81E98">
        <w:rPr>
          <w:rFonts w:ascii="Verdana" w:hAnsi="Verdana"/>
          <w:sz w:val="20"/>
          <w:szCs w:val="20"/>
        </w:rPr>
        <w:t>:</w:t>
      </w:r>
    </w:p>
    <w:p w14:paraId="26FEE65B" w14:textId="77777777" w:rsidR="00351ADE" w:rsidRPr="00F81E98" w:rsidRDefault="00170E55" w:rsidP="00CD575B">
      <w:pPr>
        <w:pStyle w:val="Akapitzlist"/>
        <w:numPr>
          <w:ilvl w:val="0"/>
          <w:numId w:val="4"/>
        </w:numPr>
        <w:spacing w:after="120" w:line="360" w:lineRule="auto"/>
        <w:ind w:left="1417" w:hanging="493"/>
        <w:contextualSpacing w:val="0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dla </w:t>
      </w:r>
      <w:r w:rsidR="00DD41E3" w:rsidRPr="00F81E98">
        <w:rPr>
          <w:rFonts w:ascii="Verdana" w:hAnsi="Verdana"/>
          <w:sz w:val="20"/>
          <w:szCs w:val="20"/>
        </w:rPr>
        <w:t>animowania</w:t>
      </w:r>
      <w:r w:rsidR="00B66611" w:rsidRPr="00F81E98">
        <w:rPr>
          <w:rFonts w:ascii="Verdana" w:hAnsi="Verdana"/>
          <w:sz w:val="20"/>
          <w:szCs w:val="20"/>
        </w:rPr>
        <w:t xml:space="preserve"> </w:t>
      </w:r>
      <w:r w:rsidR="004E6517" w:rsidRPr="00F81E98">
        <w:rPr>
          <w:rFonts w:ascii="Verdana" w:hAnsi="Verdana"/>
          <w:sz w:val="20"/>
          <w:szCs w:val="20"/>
        </w:rPr>
        <w:t xml:space="preserve">jednej serii kontraktów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57740A" w:rsidRPr="00F81E98">
        <w:rPr>
          <w:rFonts w:ascii="Verdana" w:hAnsi="Verdana"/>
          <w:sz w:val="20"/>
          <w:szCs w:val="20"/>
        </w:rPr>
        <w:t>na dany instrument bazowy</w:t>
      </w:r>
      <w:r w:rsidR="0057740A" w:rsidRPr="00F81E98" w:rsidDel="0057740A">
        <w:rPr>
          <w:rFonts w:ascii="Verdana" w:hAnsi="Verdana"/>
          <w:sz w:val="20"/>
          <w:szCs w:val="20"/>
        </w:rPr>
        <w:t xml:space="preserve"> </w:t>
      </w:r>
      <w:r w:rsidR="00351ADE" w:rsidRPr="00F81E98">
        <w:rPr>
          <w:rFonts w:ascii="Verdana" w:hAnsi="Verdana"/>
          <w:sz w:val="20"/>
          <w:szCs w:val="20"/>
        </w:rPr>
        <w:t>– 10  kontraktów,</w:t>
      </w:r>
    </w:p>
    <w:p w14:paraId="1BD807E7" w14:textId="77777777" w:rsidR="00170E55" w:rsidRPr="00F81E98" w:rsidRDefault="00351ADE" w:rsidP="006031DE">
      <w:pPr>
        <w:pStyle w:val="Akapitzlist"/>
        <w:numPr>
          <w:ilvl w:val="0"/>
          <w:numId w:val="4"/>
        </w:numPr>
        <w:spacing w:after="0" w:line="360" w:lineRule="auto"/>
        <w:ind w:left="1418" w:hanging="491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lastRenderedPageBreak/>
        <w:t xml:space="preserve">dla </w:t>
      </w:r>
      <w:r w:rsidR="00DD41E3" w:rsidRPr="00F81E98">
        <w:rPr>
          <w:rFonts w:ascii="Verdana" w:hAnsi="Verdana"/>
          <w:sz w:val="20"/>
          <w:szCs w:val="20"/>
        </w:rPr>
        <w:t>animowania</w:t>
      </w:r>
      <w:r w:rsidR="00B66611" w:rsidRPr="00F81E98">
        <w:rPr>
          <w:rFonts w:ascii="Verdana" w:hAnsi="Verdana"/>
          <w:sz w:val="20"/>
          <w:szCs w:val="20"/>
        </w:rPr>
        <w:t xml:space="preserve"> </w:t>
      </w:r>
      <w:r w:rsidR="007610C8" w:rsidRPr="00F81E98">
        <w:rPr>
          <w:rFonts w:ascii="Verdana" w:hAnsi="Verdana"/>
          <w:sz w:val="20"/>
          <w:szCs w:val="20"/>
        </w:rPr>
        <w:t xml:space="preserve">wszystkich </w:t>
      </w:r>
      <w:r w:rsidR="00137D84" w:rsidRPr="00F81E98">
        <w:rPr>
          <w:rFonts w:ascii="Verdana" w:hAnsi="Verdana"/>
          <w:sz w:val="20"/>
          <w:szCs w:val="20"/>
        </w:rPr>
        <w:t xml:space="preserve">serii </w:t>
      </w:r>
      <w:r w:rsidR="007610C8" w:rsidRPr="00F81E98">
        <w:rPr>
          <w:rFonts w:ascii="Verdana" w:hAnsi="Verdana"/>
          <w:sz w:val="20"/>
          <w:szCs w:val="20"/>
        </w:rPr>
        <w:t xml:space="preserve">kontraktów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57740A" w:rsidRPr="00F81E98">
        <w:rPr>
          <w:rFonts w:ascii="Verdana" w:hAnsi="Verdana"/>
          <w:sz w:val="20"/>
          <w:szCs w:val="20"/>
        </w:rPr>
        <w:t>na dany instrument bazowy</w:t>
      </w:r>
      <w:r w:rsidR="00DD41E3" w:rsidRPr="00F81E98">
        <w:rPr>
          <w:rFonts w:ascii="Verdana" w:hAnsi="Verdana"/>
          <w:sz w:val="20"/>
          <w:szCs w:val="20"/>
        </w:rPr>
        <w:t>:</w:t>
      </w:r>
    </w:p>
    <w:p w14:paraId="49B3F066" w14:textId="77777777" w:rsidR="00DD41E3" w:rsidRPr="00F81E98" w:rsidRDefault="00DD41E3" w:rsidP="00DD41E3">
      <w:pPr>
        <w:pStyle w:val="Akapitzlist"/>
        <w:spacing w:after="0" w:line="360" w:lineRule="auto"/>
        <w:ind w:left="1191" w:firstLine="225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dla serii z Terminu 1 – 10 kontraktów, </w:t>
      </w:r>
    </w:p>
    <w:p w14:paraId="171A5DD6" w14:textId="77777777" w:rsidR="00DD41E3" w:rsidRPr="00F81E98" w:rsidRDefault="00DD41E3" w:rsidP="00DD41E3">
      <w:pPr>
        <w:pStyle w:val="Akapitzlist"/>
        <w:tabs>
          <w:tab w:val="num" w:pos="1418"/>
        </w:tabs>
        <w:spacing w:after="0" w:line="360" w:lineRule="auto"/>
        <w:ind w:left="1191" w:firstLine="225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dla serii z Terminu 2 – 5 kontraktów, </w:t>
      </w:r>
    </w:p>
    <w:p w14:paraId="698E99FB" w14:textId="77777777" w:rsidR="00DD41E3" w:rsidRPr="00F81E98" w:rsidRDefault="00DD41E3" w:rsidP="00DD41E3">
      <w:pPr>
        <w:pStyle w:val="Akapitzlist"/>
        <w:tabs>
          <w:tab w:val="num" w:pos="1418"/>
        </w:tabs>
        <w:spacing w:after="0" w:line="360" w:lineRule="auto"/>
        <w:ind w:left="1191" w:firstLine="225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dla serii z Terminu 3 – 5 kontraktów; </w:t>
      </w:r>
    </w:p>
    <w:p w14:paraId="1EB617B7" w14:textId="77777777" w:rsidR="00DD41E3" w:rsidRPr="00F81E98" w:rsidRDefault="00DD41E3" w:rsidP="00DD41E3">
      <w:pPr>
        <w:pStyle w:val="Akapitzlist"/>
        <w:spacing w:after="0" w:line="360" w:lineRule="auto"/>
        <w:ind w:left="1418"/>
        <w:jc w:val="both"/>
        <w:rPr>
          <w:rFonts w:ascii="Verdana" w:hAnsi="Verdana"/>
          <w:sz w:val="20"/>
          <w:szCs w:val="20"/>
        </w:rPr>
      </w:pPr>
    </w:p>
    <w:p w14:paraId="4AB87FAD" w14:textId="77777777" w:rsidR="00287E9E" w:rsidRPr="00F81E98" w:rsidRDefault="00351ADE" w:rsidP="006031DE">
      <w:pPr>
        <w:pStyle w:val="Akapitzlist"/>
        <w:numPr>
          <w:ilvl w:val="4"/>
          <w:numId w:val="1"/>
        </w:numPr>
        <w:spacing w:after="120" w:line="360" w:lineRule="auto"/>
        <w:ind w:left="1418" w:hanging="851"/>
        <w:contextualSpacing w:val="0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Maksymalny s</w:t>
      </w:r>
      <w:r w:rsidR="00287E9E" w:rsidRPr="00F81E98">
        <w:rPr>
          <w:rFonts w:ascii="Verdana" w:hAnsi="Verdana"/>
          <w:sz w:val="20"/>
          <w:szCs w:val="20"/>
        </w:rPr>
        <w:t>pread:</w:t>
      </w:r>
    </w:p>
    <w:p w14:paraId="2306F288" w14:textId="77777777" w:rsidR="00DD41E3" w:rsidRPr="00F81E98" w:rsidRDefault="00351ADE" w:rsidP="00DD41E3">
      <w:pPr>
        <w:pStyle w:val="Akapitzlist"/>
        <w:numPr>
          <w:ilvl w:val="0"/>
          <w:numId w:val="12"/>
        </w:numPr>
        <w:tabs>
          <w:tab w:val="clear" w:pos="1191"/>
          <w:tab w:val="num" w:pos="1418"/>
        </w:tabs>
        <w:spacing w:after="120" w:line="360" w:lineRule="auto"/>
        <w:ind w:left="1418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dla</w:t>
      </w:r>
      <w:r w:rsidR="00287E9E" w:rsidRPr="00F81E98">
        <w:rPr>
          <w:rFonts w:ascii="Verdana" w:hAnsi="Verdana"/>
          <w:sz w:val="20"/>
          <w:szCs w:val="20"/>
        </w:rPr>
        <w:t xml:space="preserve"> </w:t>
      </w:r>
      <w:r w:rsidR="00DD41E3" w:rsidRPr="00F81E98">
        <w:rPr>
          <w:rFonts w:ascii="Verdana" w:hAnsi="Verdana"/>
          <w:sz w:val="20"/>
          <w:szCs w:val="20"/>
        </w:rPr>
        <w:t>animowania</w:t>
      </w:r>
      <w:r w:rsidR="007610C8" w:rsidRPr="00F81E98">
        <w:rPr>
          <w:rFonts w:ascii="Verdana" w:hAnsi="Verdana"/>
          <w:sz w:val="20"/>
          <w:szCs w:val="20"/>
        </w:rPr>
        <w:t xml:space="preserve"> jednej serii kontraktów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57740A" w:rsidRPr="00F81E98">
        <w:rPr>
          <w:rFonts w:ascii="Verdana" w:hAnsi="Verdana"/>
          <w:sz w:val="20"/>
          <w:szCs w:val="20"/>
        </w:rPr>
        <w:t>na dany instrument bazowy</w:t>
      </w:r>
      <w:r w:rsidR="00DD41E3" w:rsidRPr="00F81E98">
        <w:rPr>
          <w:rFonts w:ascii="Verdana" w:hAnsi="Verdana"/>
          <w:sz w:val="20"/>
          <w:szCs w:val="20"/>
        </w:rPr>
        <w:t xml:space="preserve">: </w:t>
      </w:r>
    </w:p>
    <w:p w14:paraId="5C930759" w14:textId="77777777" w:rsidR="00D916CF" w:rsidRPr="00F81E98" w:rsidRDefault="00D916CF" w:rsidP="00D916CF">
      <w:pPr>
        <w:tabs>
          <w:tab w:val="left" w:pos="317"/>
        </w:tabs>
        <w:spacing w:after="120" w:line="276" w:lineRule="auto"/>
        <w:ind w:left="1418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- 0,04 zł – dla kursu ≤1 zł, </w:t>
      </w:r>
    </w:p>
    <w:p w14:paraId="0F8DC72A" w14:textId="77777777" w:rsidR="00D916CF" w:rsidRPr="00F81E98" w:rsidRDefault="00D916CF" w:rsidP="00D916CF">
      <w:pPr>
        <w:tabs>
          <w:tab w:val="left" w:pos="317"/>
        </w:tabs>
        <w:spacing w:after="120" w:line="276" w:lineRule="auto"/>
        <w:ind w:left="1418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- 0,08 zł – dla kursu  &gt;1 zł - ≤2 zł, </w:t>
      </w:r>
    </w:p>
    <w:p w14:paraId="4D1E43F7" w14:textId="77777777" w:rsidR="00D916CF" w:rsidRPr="00F81E98" w:rsidRDefault="00D916CF" w:rsidP="00D916CF">
      <w:pPr>
        <w:tabs>
          <w:tab w:val="left" w:pos="317"/>
        </w:tabs>
        <w:spacing w:after="240" w:line="276" w:lineRule="auto"/>
        <w:ind w:left="1418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- 3,5% - dla kursu &gt;2 zł,</w:t>
      </w:r>
    </w:p>
    <w:p w14:paraId="1D222CEE" w14:textId="77777777" w:rsidR="007610C8" w:rsidRPr="00F81E98" w:rsidRDefault="00351ADE" w:rsidP="00DD41E3">
      <w:pPr>
        <w:pStyle w:val="Akapitzlist"/>
        <w:numPr>
          <w:ilvl w:val="0"/>
          <w:numId w:val="12"/>
        </w:numPr>
        <w:tabs>
          <w:tab w:val="num" w:pos="1418"/>
        </w:tabs>
        <w:spacing w:after="0" w:line="360" w:lineRule="auto"/>
        <w:ind w:left="1418" w:hanging="425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dla </w:t>
      </w:r>
      <w:r w:rsidR="00DD41E3" w:rsidRPr="00F81E98">
        <w:rPr>
          <w:rFonts w:ascii="Verdana" w:hAnsi="Verdana"/>
          <w:sz w:val="20"/>
          <w:szCs w:val="20"/>
        </w:rPr>
        <w:t>animowania</w:t>
      </w:r>
      <w:r w:rsidR="007610C8" w:rsidRPr="00F81E98">
        <w:rPr>
          <w:rFonts w:ascii="Verdana" w:hAnsi="Verdana"/>
          <w:sz w:val="20"/>
          <w:szCs w:val="20"/>
        </w:rPr>
        <w:t xml:space="preserve"> wszystkich </w:t>
      </w:r>
      <w:r w:rsidR="00137D84" w:rsidRPr="00F81E98">
        <w:rPr>
          <w:rFonts w:ascii="Verdana" w:hAnsi="Verdana"/>
          <w:sz w:val="20"/>
          <w:szCs w:val="20"/>
        </w:rPr>
        <w:t xml:space="preserve">serii </w:t>
      </w:r>
      <w:r w:rsidR="007610C8" w:rsidRPr="00F81E98">
        <w:rPr>
          <w:rFonts w:ascii="Verdana" w:hAnsi="Verdana"/>
          <w:sz w:val="20"/>
          <w:szCs w:val="20"/>
        </w:rPr>
        <w:t xml:space="preserve">kontraktów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57740A" w:rsidRPr="00F81E98">
        <w:rPr>
          <w:rFonts w:ascii="Verdana" w:hAnsi="Verdana"/>
          <w:sz w:val="20"/>
          <w:szCs w:val="20"/>
        </w:rPr>
        <w:t>na dany instrument bazowy</w:t>
      </w:r>
      <w:r w:rsidR="007610C8" w:rsidRPr="00F81E98">
        <w:rPr>
          <w:rFonts w:ascii="Verdana" w:hAnsi="Verdana"/>
          <w:sz w:val="20"/>
          <w:szCs w:val="20"/>
        </w:rPr>
        <w:t xml:space="preserve">: </w:t>
      </w:r>
    </w:p>
    <w:p w14:paraId="432263E7" w14:textId="77777777" w:rsidR="00D916CF" w:rsidRPr="00F81E98" w:rsidRDefault="007610C8" w:rsidP="00D916CF">
      <w:pPr>
        <w:tabs>
          <w:tab w:val="left" w:pos="317"/>
        </w:tabs>
        <w:spacing w:after="120" w:line="276" w:lineRule="auto"/>
        <w:ind w:left="1418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</w:t>
      </w:r>
      <w:r w:rsidR="00D916CF" w:rsidRPr="00F81E98">
        <w:rPr>
          <w:rFonts w:ascii="Verdana" w:hAnsi="Verdana"/>
          <w:sz w:val="20"/>
          <w:szCs w:val="20"/>
        </w:rPr>
        <w:t xml:space="preserve">0,04 zł – dla kursu ≤1 zł, </w:t>
      </w:r>
    </w:p>
    <w:p w14:paraId="195F6CA9" w14:textId="77777777" w:rsidR="00D916CF" w:rsidRPr="00F81E98" w:rsidRDefault="00D916CF" w:rsidP="00D916CF">
      <w:pPr>
        <w:tabs>
          <w:tab w:val="left" w:pos="317"/>
        </w:tabs>
        <w:spacing w:after="120" w:line="276" w:lineRule="auto"/>
        <w:ind w:left="1418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- 0,08 zł – dla kursu  &gt;1 zł - ≤2 zł, </w:t>
      </w:r>
    </w:p>
    <w:p w14:paraId="7CD85DC4" w14:textId="77777777" w:rsidR="00D916CF" w:rsidRPr="00F81E98" w:rsidRDefault="00D916CF" w:rsidP="00D916CF">
      <w:pPr>
        <w:tabs>
          <w:tab w:val="left" w:pos="317"/>
        </w:tabs>
        <w:spacing w:after="120" w:line="276" w:lineRule="auto"/>
        <w:ind w:left="1418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- 4,0% - dla kursu &gt;2 zł.</w:t>
      </w:r>
    </w:p>
    <w:p w14:paraId="13922842" w14:textId="77777777" w:rsidR="00D916CF" w:rsidRPr="00F81E98" w:rsidRDefault="00D916CF" w:rsidP="00D916CF">
      <w:pPr>
        <w:pStyle w:val="Akapitzlist"/>
        <w:tabs>
          <w:tab w:val="num" w:pos="1418"/>
        </w:tabs>
        <w:spacing w:after="0" w:line="360" w:lineRule="auto"/>
        <w:ind w:left="851"/>
        <w:jc w:val="both"/>
        <w:rPr>
          <w:rFonts w:ascii="Verdana" w:hAnsi="Verdana"/>
          <w:sz w:val="20"/>
          <w:szCs w:val="20"/>
        </w:rPr>
      </w:pPr>
    </w:p>
    <w:p w14:paraId="691F2FC9" w14:textId="77777777" w:rsidR="00E755EA" w:rsidRPr="00F81E98" w:rsidRDefault="00E755EA" w:rsidP="006031DE">
      <w:pPr>
        <w:pStyle w:val="Akapitzlist"/>
        <w:numPr>
          <w:ilvl w:val="0"/>
          <w:numId w:val="9"/>
        </w:numPr>
        <w:spacing w:after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1E98">
        <w:rPr>
          <w:rFonts w:ascii="Verdana" w:hAnsi="Verdana"/>
          <w:color w:val="000000"/>
          <w:sz w:val="20"/>
          <w:szCs w:val="20"/>
        </w:rPr>
        <w:t xml:space="preserve">Użyte </w:t>
      </w:r>
      <w:r w:rsidR="00992255" w:rsidRPr="00F81E98">
        <w:rPr>
          <w:rFonts w:ascii="Verdana" w:hAnsi="Verdana"/>
          <w:color w:val="000000"/>
          <w:sz w:val="20"/>
          <w:szCs w:val="20"/>
        </w:rPr>
        <w:t xml:space="preserve">w pkt 7 </w:t>
      </w:r>
      <w:r w:rsidRPr="00F81E98">
        <w:rPr>
          <w:rFonts w:ascii="Verdana" w:hAnsi="Verdana"/>
          <w:color w:val="000000"/>
          <w:sz w:val="20"/>
          <w:szCs w:val="20"/>
        </w:rPr>
        <w:t xml:space="preserve">określenia oznaczają: </w:t>
      </w:r>
    </w:p>
    <w:p w14:paraId="6C791A9E" w14:textId="77777777" w:rsidR="00E755EA" w:rsidRPr="00F81E98" w:rsidRDefault="00E755EA" w:rsidP="006031DE">
      <w:pPr>
        <w:numPr>
          <w:ilvl w:val="0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40" w:line="360" w:lineRule="auto"/>
        <w:jc w:val="both"/>
        <w:rPr>
          <w:rFonts w:ascii="Verdana" w:eastAsia="Calibri" w:hAnsi="Verdana" w:cs="Lucida Sans Unicode"/>
          <w:sz w:val="20"/>
          <w:szCs w:val="20"/>
          <w:lang w:eastAsia="en-US"/>
        </w:rPr>
      </w:pPr>
      <w:r w:rsidRPr="00F81E98">
        <w:rPr>
          <w:rFonts w:ascii="Verdana" w:eastAsia="Calibri" w:hAnsi="Verdana" w:cs="Lucida Sans Unicode"/>
          <w:sz w:val="20"/>
          <w:szCs w:val="20"/>
          <w:lang w:eastAsia="en-US"/>
        </w:rPr>
        <w:t>Obecność w arkuszu zleceń - minimalny wyma</w:t>
      </w:r>
      <w:r w:rsidR="00B24B95" w:rsidRPr="00F81E98">
        <w:rPr>
          <w:rFonts w:ascii="Verdana" w:eastAsia="Calibri" w:hAnsi="Verdana" w:cs="Lucida Sans Unicode"/>
          <w:sz w:val="20"/>
          <w:szCs w:val="20"/>
          <w:lang w:eastAsia="en-US"/>
        </w:rPr>
        <w:t>gany okres utrzymywania zleceń A</w:t>
      </w:r>
      <w:r w:rsidRPr="00F81E98">
        <w:rPr>
          <w:rFonts w:ascii="Verdana" w:eastAsia="Calibri" w:hAnsi="Verdana" w:cs="Lucida Sans Unicode"/>
          <w:sz w:val="20"/>
          <w:szCs w:val="20"/>
          <w:lang w:eastAsia="en-US"/>
        </w:rPr>
        <w:t xml:space="preserve">nimatora </w:t>
      </w:r>
      <w:r w:rsidR="00B24B95" w:rsidRPr="00F81E98">
        <w:rPr>
          <w:rFonts w:ascii="Verdana" w:eastAsia="Calibri" w:hAnsi="Verdana" w:cs="Lucida Sans Unicode"/>
          <w:sz w:val="20"/>
          <w:szCs w:val="20"/>
          <w:lang w:eastAsia="en-US"/>
        </w:rPr>
        <w:t xml:space="preserve">Rynku </w:t>
      </w:r>
      <w:r w:rsidRPr="00F81E98">
        <w:rPr>
          <w:rFonts w:ascii="Verdana" w:eastAsia="Calibri" w:hAnsi="Verdana" w:cs="Lucida Sans Unicode"/>
          <w:sz w:val="20"/>
          <w:szCs w:val="20"/>
          <w:lang w:eastAsia="en-US"/>
        </w:rPr>
        <w:t xml:space="preserve">w arkuszu zleceń w trakcie trwania danej sesji giełdowej, z zastrzeżeniem </w:t>
      </w:r>
      <w:r w:rsidR="00287E9E" w:rsidRPr="00F81E98">
        <w:rPr>
          <w:rFonts w:ascii="Verdana" w:hAnsi="Verdana" w:cs="Lucida Sans Unicode"/>
          <w:sz w:val="20"/>
          <w:szCs w:val="20"/>
        </w:rPr>
        <w:t xml:space="preserve">obowiązków wynikających z przepisów </w:t>
      </w:r>
      <w:r w:rsidR="00D459A6" w:rsidRPr="00F81E98">
        <w:rPr>
          <w:rFonts w:ascii="Verdana" w:hAnsi="Verdana" w:cs="Lucida Sans Unicode"/>
          <w:sz w:val="20"/>
          <w:szCs w:val="20"/>
        </w:rPr>
        <w:br/>
      </w:r>
      <w:r w:rsidR="00287E9E" w:rsidRPr="00F81E98">
        <w:rPr>
          <w:rFonts w:ascii="Verdana" w:hAnsi="Verdana" w:cs="Lucida Sans Unicode"/>
          <w:sz w:val="20"/>
          <w:szCs w:val="20"/>
        </w:rPr>
        <w:t>§ 11 ust. 2 pkt 1 i 2 i ust. 3 Działu II Szczegółowych Zasad Obrotu Giełdowego</w:t>
      </w:r>
      <w:r w:rsidR="00EF5354" w:rsidRPr="00F81E98">
        <w:rPr>
          <w:rFonts w:ascii="Verdana" w:hAnsi="Verdana" w:cs="Lucida Sans Unicode"/>
          <w:sz w:val="20"/>
          <w:szCs w:val="20"/>
        </w:rPr>
        <w:t xml:space="preserve"> w systemie UTP</w:t>
      </w:r>
      <w:r w:rsidRPr="00F81E98">
        <w:rPr>
          <w:rFonts w:ascii="Verdana" w:eastAsia="Calibri" w:hAnsi="Verdana" w:cs="Lucida Sans Unicode"/>
          <w:sz w:val="20"/>
          <w:szCs w:val="20"/>
          <w:lang w:eastAsia="en-US"/>
        </w:rPr>
        <w:t xml:space="preserve">; </w:t>
      </w:r>
    </w:p>
    <w:p w14:paraId="7CFF0F1D" w14:textId="77777777" w:rsidR="00AE4458" w:rsidRPr="00F81E98" w:rsidRDefault="00AE4458" w:rsidP="006031DE">
      <w:pPr>
        <w:pStyle w:val="Default"/>
        <w:numPr>
          <w:ilvl w:val="0"/>
          <w:numId w:val="10"/>
        </w:numPr>
        <w:tabs>
          <w:tab w:val="left" w:pos="567"/>
          <w:tab w:val="left" w:pos="1134"/>
        </w:tabs>
        <w:spacing w:after="240" w:line="360" w:lineRule="auto"/>
        <w:jc w:val="both"/>
        <w:rPr>
          <w:rFonts w:cs="Lucida Sans Unicode"/>
          <w:sz w:val="20"/>
          <w:szCs w:val="20"/>
        </w:rPr>
      </w:pPr>
      <w:r w:rsidRPr="00F81E98">
        <w:rPr>
          <w:rFonts w:cs="Lucida Sans Unicode"/>
          <w:sz w:val="20"/>
          <w:szCs w:val="20"/>
        </w:rPr>
        <w:t>Minimalny</w:t>
      </w:r>
      <w:r w:rsidR="00E755EA" w:rsidRPr="00F81E98">
        <w:rPr>
          <w:rFonts w:cs="Lucida Sans Unicode"/>
          <w:sz w:val="20"/>
          <w:szCs w:val="20"/>
        </w:rPr>
        <w:t xml:space="preserve"> wolumen zleceń –</w:t>
      </w:r>
      <w:r w:rsidRPr="00F81E98">
        <w:rPr>
          <w:rFonts w:cs="Lucida Sans Unicode"/>
          <w:sz w:val="20"/>
          <w:szCs w:val="20"/>
        </w:rPr>
        <w:t xml:space="preserve"> </w:t>
      </w:r>
      <w:r w:rsidR="00E755EA" w:rsidRPr="00F81E98">
        <w:rPr>
          <w:rFonts w:cs="Lucida Sans Unicode"/>
          <w:sz w:val="20"/>
          <w:szCs w:val="20"/>
        </w:rPr>
        <w:t xml:space="preserve">minimalne wolumeny zleceń </w:t>
      </w:r>
      <w:r w:rsidR="00B24B95" w:rsidRPr="00F81E98">
        <w:rPr>
          <w:rFonts w:cs="Lucida Sans Unicode"/>
          <w:sz w:val="20"/>
          <w:szCs w:val="20"/>
        </w:rPr>
        <w:t>Animatora R</w:t>
      </w:r>
      <w:r w:rsidR="00E755EA" w:rsidRPr="00F81E98">
        <w:rPr>
          <w:rFonts w:cs="Lucida Sans Unicode"/>
          <w:sz w:val="20"/>
          <w:szCs w:val="20"/>
        </w:rPr>
        <w:t xml:space="preserve">ynku w arkuszu zleceń;  </w:t>
      </w:r>
    </w:p>
    <w:p w14:paraId="5FF3C524" w14:textId="77777777" w:rsidR="00DD41E3" w:rsidRPr="00F81E98" w:rsidRDefault="00E755EA" w:rsidP="00DD41E3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240" w:line="360" w:lineRule="auto"/>
        <w:jc w:val="both"/>
        <w:rPr>
          <w:rFonts w:ascii="Verdana" w:eastAsia="Calibri" w:hAnsi="Verdana" w:cs="Verdana"/>
          <w:color w:val="000000"/>
          <w:sz w:val="20"/>
          <w:szCs w:val="20"/>
          <w:lang w:eastAsia="en-US"/>
        </w:rPr>
      </w:pPr>
      <w:r w:rsidRPr="00F81E98">
        <w:rPr>
          <w:rFonts w:ascii="Verdana" w:hAnsi="Verdana" w:cs="Lucida Sans Unicode"/>
          <w:sz w:val="20"/>
          <w:szCs w:val="20"/>
        </w:rPr>
        <w:t>Maksymalny spread –</w:t>
      </w:r>
      <w:r w:rsidR="007610C8" w:rsidRPr="00F81E98">
        <w:rPr>
          <w:rFonts w:ascii="Verdana" w:hAnsi="Verdana" w:cs="Arial"/>
          <w:sz w:val="20"/>
          <w:szCs w:val="20"/>
        </w:rPr>
        <w:t xml:space="preserve"> </w:t>
      </w:r>
      <w:r w:rsidR="00DD41E3" w:rsidRPr="00F81E98">
        <w:rPr>
          <w:rFonts w:ascii="Verdana" w:eastAsia="Calibri" w:hAnsi="Verdana" w:cs="Verdana"/>
          <w:sz w:val="20"/>
          <w:szCs w:val="20"/>
          <w:lang w:eastAsia="en-US"/>
        </w:rPr>
        <w:t>maksy</w:t>
      </w:r>
      <w:r w:rsidR="006C3460" w:rsidRPr="00F81E98">
        <w:rPr>
          <w:rFonts w:ascii="Verdana" w:eastAsia="Calibri" w:hAnsi="Verdana" w:cs="Verdana"/>
          <w:sz w:val="20"/>
          <w:szCs w:val="20"/>
          <w:lang w:eastAsia="en-US"/>
        </w:rPr>
        <w:t>malna dopuszczalna dla z</w:t>
      </w:r>
      <w:r w:rsidR="003F0F02" w:rsidRPr="00F81E98">
        <w:rPr>
          <w:rFonts w:ascii="Verdana" w:eastAsia="Calibri" w:hAnsi="Verdana" w:cs="Verdana"/>
          <w:sz w:val="20"/>
          <w:szCs w:val="20"/>
          <w:lang w:eastAsia="en-US"/>
        </w:rPr>
        <w:t xml:space="preserve">leceń </w:t>
      </w:r>
      <w:r w:rsidR="00274950" w:rsidRPr="00F81E98">
        <w:rPr>
          <w:rFonts w:ascii="Verdana" w:eastAsia="Calibri" w:hAnsi="Verdana" w:cs="Verdana"/>
          <w:sz w:val="20"/>
          <w:szCs w:val="20"/>
          <w:lang w:eastAsia="en-US"/>
        </w:rPr>
        <w:t>A</w:t>
      </w:r>
      <w:r w:rsidR="00F94A32" w:rsidRPr="00F81E98">
        <w:rPr>
          <w:rFonts w:ascii="Verdana" w:eastAsia="Calibri" w:hAnsi="Verdana" w:cs="Verdana"/>
          <w:sz w:val="20"/>
          <w:szCs w:val="20"/>
          <w:lang w:eastAsia="en-US"/>
        </w:rPr>
        <w:t xml:space="preserve">nimatora </w:t>
      </w:r>
      <w:r w:rsidR="00DD41E3" w:rsidRPr="00F81E98">
        <w:rPr>
          <w:rFonts w:ascii="Verdana" w:eastAsia="Calibri" w:hAnsi="Verdana" w:cs="Verdana"/>
          <w:sz w:val="20"/>
          <w:szCs w:val="20"/>
          <w:lang w:eastAsia="en-US"/>
        </w:rPr>
        <w:t xml:space="preserve">różnica między najniższym limitem ceny w zleceniu sprzedaży a najwyższym limitem ceny w zleceniu kupna albo maksymalny dopuszczalny, wyrażony </w:t>
      </w:r>
      <w:r w:rsidR="00335DE9" w:rsidRPr="00F81E98">
        <w:rPr>
          <w:rFonts w:ascii="Verdana" w:eastAsia="Calibri" w:hAnsi="Verdana" w:cs="Verdana"/>
          <w:sz w:val="20"/>
          <w:szCs w:val="20"/>
          <w:lang w:eastAsia="en-US"/>
        </w:rPr>
        <w:br/>
      </w:r>
      <w:r w:rsidR="00DD41E3" w:rsidRPr="00F81E98">
        <w:rPr>
          <w:rFonts w:ascii="Verdana" w:eastAsia="Calibri" w:hAnsi="Verdana" w:cs="Verdana"/>
          <w:sz w:val="20"/>
          <w:szCs w:val="20"/>
          <w:lang w:eastAsia="en-US"/>
        </w:rPr>
        <w:t xml:space="preserve">w %, </w:t>
      </w:r>
      <w:r w:rsidR="00DD41E3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stosunek różnicy między </w:t>
      </w:r>
      <w:r w:rsidR="00F94A32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najniższym </w:t>
      </w:r>
      <w:r w:rsidR="00DD41E3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limitem ceny w zleceniu sprzedaży </w:t>
      </w:r>
      <w:r w:rsidR="00274950" w:rsidRPr="00F81E98">
        <w:rPr>
          <w:rFonts w:ascii="Verdana" w:eastAsia="Calibri" w:hAnsi="Verdana" w:cs="Arial"/>
          <w:sz w:val="20"/>
          <w:szCs w:val="20"/>
          <w:lang w:eastAsia="en-US"/>
        </w:rPr>
        <w:t>i</w:t>
      </w:r>
      <w:r w:rsidR="00DD41E3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F94A32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najwyższym </w:t>
      </w:r>
      <w:r w:rsidR="00DD41E3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limitem ceny w zleceniu kupna do limitu ceny </w:t>
      </w:r>
      <w:r w:rsidR="00335DE9" w:rsidRPr="00F81E98">
        <w:rPr>
          <w:rFonts w:ascii="Verdana" w:eastAsia="Calibri" w:hAnsi="Verdana" w:cs="Arial"/>
          <w:sz w:val="20"/>
          <w:szCs w:val="20"/>
          <w:lang w:eastAsia="en-US"/>
        </w:rPr>
        <w:br/>
      </w:r>
      <w:r w:rsidR="00DD41E3" w:rsidRPr="00F81E98">
        <w:rPr>
          <w:rFonts w:ascii="Verdana" w:eastAsia="Calibri" w:hAnsi="Verdana" w:cs="Arial"/>
          <w:sz w:val="20"/>
          <w:szCs w:val="20"/>
          <w:lang w:eastAsia="en-US"/>
        </w:rPr>
        <w:t xml:space="preserve">w zleceniu kupna; </w:t>
      </w:r>
    </w:p>
    <w:p w14:paraId="25DEEECA" w14:textId="77777777" w:rsidR="007610C8" w:rsidRPr="00F81E98" w:rsidRDefault="007610C8" w:rsidP="006031DE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rFonts w:cs="Arial"/>
          <w:color w:val="auto"/>
          <w:sz w:val="20"/>
          <w:szCs w:val="20"/>
        </w:rPr>
      </w:pPr>
      <w:r w:rsidRPr="00F81E98">
        <w:rPr>
          <w:color w:val="auto"/>
          <w:sz w:val="20"/>
          <w:szCs w:val="20"/>
        </w:rPr>
        <w:lastRenderedPageBreak/>
        <w:t xml:space="preserve">Termin 1 – kontrakty </w:t>
      </w:r>
      <w:r w:rsidR="00F01DB3" w:rsidRPr="00F81E98">
        <w:rPr>
          <w:color w:val="auto"/>
          <w:sz w:val="20"/>
          <w:szCs w:val="20"/>
        </w:rPr>
        <w:t xml:space="preserve">terminowe </w:t>
      </w:r>
      <w:r w:rsidRPr="00F81E98">
        <w:rPr>
          <w:color w:val="auto"/>
          <w:sz w:val="20"/>
          <w:szCs w:val="20"/>
        </w:rPr>
        <w:t xml:space="preserve">serii z najbliższym terminem wygaśnięcia </w:t>
      </w:r>
      <w:r w:rsidRPr="00F81E98">
        <w:rPr>
          <w:color w:val="auto"/>
          <w:sz w:val="20"/>
          <w:szCs w:val="20"/>
        </w:rPr>
        <w:br/>
        <w:t>z marcowego cyklu kwartalnego (obejmującego miesiące marzec,</w:t>
      </w:r>
      <w:r w:rsidR="00335DE9" w:rsidRPr="00F81E98">
        <w:rPr>
          <w:color w:val="auto"/>
          <w:sz w:val="20"/>
          <w:szCs w:val="20"/>
        </w:rPr>
        <w:t xml:space="preserve"> czerwiec, wrzesień, grudzień);</w:t>
      </w:r>
    </w:p>
    <w:p w14:paraId="747B86C2" w14:textId="77777777" w:rsidR="007610C8" w:rsidRPr="00F81E98" w:rsidRDefault="00F01DB3" w:rsidP="006031DE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color w:val="auto"/>
          <w:sz w:val="20"/>
          <w:szCs w:val="20"/>
        </w:rPr>
      </w:pPr>
      <w:r w:rsidRPr="00F81E98">
        <w:rPr>
          <w:color w:val="auto"/>
          <w:sz w:val="20"/>
          <w:szCs w:val="20"/>
        </w:rPr>
        <w:t>Termin 2 - kontrakty terminowe</w:t>
      </w:r>
      <w:r w:rsidR="007610C8" w:rsidRPr="00F81E98">
        <w:rPr>
          <w:color w:val="auto"/>
          <w:sz w:val="20"/>
          <w:szCs w:val="20"/>
        </w:rPr>
        <w:t xml:space="preserve"> serii z drugim najbliższym terminem wygaśnięcia z marcowego cyklu kwartalnego (obejmującego miesiące marzec</w:t>
      </w:r>
      <w:r w:rsidR="00335DE9" w:rsidRPr="00F81E98">
        <w:rPr>
          <w:color w:val="auto"/>
          <w:sz w:val="20"/>
          <w:szCs w:val="20"/>
        </w:rPr>
        <w:t>, czerwiec, wrzesień, grudzień);</w:t>
      </w:r>
    </w:p>
    <w:p w14:paraId="41EDB657" w14:textId="77777777" w:rsidR="007610C8" w:rsidRPr="00F81E98" w:rsidRDefault="00D916CF" w:rsidP="009C22E5">
      <w:pPr>
        <w:pStyle w:val="Default"/>
        <w:numPr>
          <w:ilvl w:val="0"/>
          <w:numId w:val="10"/>
        </w:numPr>
        <w:tabs>
          <w:tab w:val="left" w:pos="567"/>
        </w:tabs>
        <w:spacing w:after="240" w:line="360" w:lineRule="auto"/>
        <w:jc w:val="both"/>
        <w:rPr>
          <w:color w:val="auto"/>
          <w:sz w:val="20"/>
          <w:szCs w:val="20"/>
        </w:rPr>
      </w:pPr>
      <w:r w:rsidRPr="00F81E98">
        <w:rPr>
          <w:color w:val="auto"/>
          <w:sz w:val="20"/>
          <w:szCs w:val="20"/>
        </w:rPr>
        <w:t>Termin 3</w:t>
      </w:r>
      <w:r w:rsidR="00F01DB3" w:rsidRPr="00F81E98">
        <w:rPr>
          <w:color w:val="auto"/>
          <w:sz w:val="20"/>
          <w:szCs w:val="20"/>
        </w:rPr>
        <w:t xml:space="preserve"> - kontrakty terminowe</w:t>
      </w:r>
      <w:r w:rsidR="007610C8" w:rsidRPr="00F81E98">
        <w:rPr>
          <w:color w:val="auto"/>
          <w:sz w:val="20"/>
          <w:szCs w:val="20"/>
        </w:rPr>
        <w:t xml:space="preserve"> serii z trzecim najbliższym terminem wygaśnięcia z marcowego cyklu kwartalnego (obejmującego miesiące marzec, czerwiec, wrzesień, grudzień).</w:t>
      </w:r>
    </w:p>
    <w:p w14:paraId="5778F6CE" w14:textId="77777777" w:rsidR="00170E55" w:rsidRPr="00F81E98" w:rsidRDefault="00114482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Po zakończeniu każdego miesiąca kalendarzowego Giełda dokonuje weryfikacji spełniania przez Animatorów Rynku uczestniczących w Programie wymogów </w:t>
      </w:r>
      <w:r w:rsidR="00331F31" w:rsidRPr="00F81E98">
        <w:rPr>
          <w:rFonts w:ascii="Verdana" w:hAnsi="Verdana"/>
          <w:sz w:val="20"/>
          <w:szCs w:val="20"/>
        </w:rPr>
        <w:br/>
      </w:r>
      <w:r w:rsidRPr="00F81E98">
        <w:rPr>
          <w:rFonts w:ascii="Verdana" w:hAnsi="Verdana"/>
          <w:sz w:val="20"/>
          <w:szCs w:val="20"/>
        </w:rPr>
        <w:t>i warunków, o których mowa w pkt 7 - 8, i na tej podstawie wskazuje dla kontraktów terminowych na dany instrument bazowy  Animatorów Rynku, którzy spełniając wszystkie wskazane powyżej wymogi/warunki animowania, osiągnęli w danym miesiącu trzy najwyższe wolumeny obrotów wszystkimi seriami kontraktów terminowych na dany instrument bazowy, zwanych dalej „SuperAnimatorami”</w:t>
      </w:r>
      <w:r w:rsidR="00170E55" w:rsidRPr="00F81E98">
        <w:rPr>
          <w:rFonts w:ascii="Verdana" w:hAnsi="Verdana"/>
          <w:sz w:val="20"/>
          <w:szCs w:val="20"/>
        </w:rPr>
        <w:t>.</w:t>
      </w:r>
    </w:p>
    <w:p w14:paraId="56A11673" w14:textId="77777777" w:rsidR="00170E55" w:rsidRPr="00F81E98" w:rsidRDefault="00170E55" w:rsidP="006031DE">
      <w:pPr>
        <w:pStyle w:val="Akapitzlist"/>
        <w:spacing w:line="360" w:lineRule="auto"/>
        <w:ind w:left="928"/>
        <w:jc w:val="both"/>
        <w:rPr>
          <w:rFonts w:ascii="Verdana" w:hAnsi="Verdana"/>
          <w:sz w:val="20"/>
          <w:szCs w:val="20"/>
        </w:rPr>
      </w:pPr>
    </w:p>
    <w:p w14:paraId="7CE71CE7" w14:textId="77777777" w:rsidR="00170E55" w:rsidRPr="00F81E98" w:rsidRDefault="00170E55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W przypadku decyzji o </w:t>
      </w:r>
      <w:r w:rsidR="005F1E52" w:rsidRPr="00F81E98">
        <w:rPr>
          <w:rFonts w:ascii="Verdana" w:hAnsi="Verdana"/>
          <w:sz w:val="20"/>
          <w:szCs w:val="20"/>
        </w:rPr>
        <w:t>rezygnacji z udziału w Programie</w:t>
      </w:r>
      <w:r w:rsidRPr="00F81E98">
        <w:rPr>
          <w:rFonts w:ascii="Verdana" w:hAnsi="Verdana"/>
          <w:sz w:val="20"/>
          <w:szCs w:val="20"/>
        </w:rPr>
        <w:t xml:space="preserve">, należy przesłać skan stosownego oświadczenia </w:t>
      </w:r>
      <w:r w:rsidR="005F1E52" w:rsidRPr="00F81E98">
        <w:rPr>
          <w:rFonts w:ascii="Verdana" w:hAnsi="Verdana"/>
          <w:sz w:val="20"/>
          <w:szCs w:val="20"/>
        </w:rPr>
        <w:t xml:space="preserve">o wypowiedzeniu Umowy w danym zakresie, </w:t>
      </w:r>
      <w:r w:rsidRPr="00F81E98">
        <w:rPr>
          <w:rFonts w:ascii="Verdana" w:hAnsi="Verdana"/>
          <w:sz w:val="20"/>
          <w:szCs w:val="20"/>
        </w:rPr>
        <w:t xml:space="preserve">emailem na adres </w:t>
      </w:r>
      <w:hyperlink r:id="rId8" w:history="1">
        <w:r w:rsidRPr="00F81E98">
          <w:rPr>
            <w:rStyle w:val="Hipercze"/>
            <w:rFonts w:ascii="Verdana" w:hAnsi="Verdana"/>
            <w:bCs/>
            <w:sz w:val="20"/>
            <w:szCs w:val="20"/>
          </w:rPr>
          <w:t>members@gpw.pl</w:t>
        </w:r>
      </w:hyperlink>
      <w:r w:rsidR="004541EC" w:rsidRPr="00F81E98">
        <w:rPr>
          <w:rFonts w:ascii="Verdana" w:hAnsi="Verdana"/>
          <w:sz w:val="20"/>
          <w:szCs w:val="20"/>
        </w:rPr>
        <w:t xml:space="preserve">, </w:t>
      </w:r>
      <w:r w:rsidRPr="00F81E98">
        <w:rPr>
          <w:rFonts w:ascii="Verdana" w:hAnsi="Verdana"/>
          <w:sz w:val="20"/>
          <w:szCs w:val="20"/>
        </w:rPr>
        <w:t xml:space="preserve">z zachowaniem </w:t>
      </w:r>
      <w:r w:rsidR="004541EC" w:rsidRPr="00F81E98">
        <w:rPr>
          <w:rFonts w:ascii="Verdana" w:hAnsi="Verdana"/>
          <w:sz w:val="20"/>
          <w:szCs w:val="20"/>
        </w:rPr>
        <w:t>2-</w:t>
      </w:r>
      <w:r w:rsidRPr="00F81E98">
        <w:rPr>
          <w:rFonts w:ascii="Verdana" w:hAnsi="Verdana"/>
          <w:sz w:val="20"/>
          <w:szCs w:val="20"/>
        </w:rPr>
        <w:t xml:space="preserve">tygodniowego terminu wypowiedzenia ze skutkiem od </w:t>
      </w:r>
      <w:r w:rsidR="004541EC" w:rsidRPr="00F81E98">
        <w:rPr>
          <w:rFonts w:ascii="Verdana" w:hAnsi="Verdana"/>
          <w:sz w:val="20"/>
          <w:szCs w:val="20"/>
        </w:rPr>
        <w:t xml:space="preserve">pierwszego dnia </w:t>
      </w:r>
      <w:r w:rsidRPr="00F81E98">
        <w:rPr>
          <w:rFonts w:ascii="Verdana" w:hAnsi="Verdana"/>
          <w:sz w:val="20"/>
          <w:szCs w:val="20"/>
        </w:rPr>
        <w:t>następnego miesiąca kalendarzowego.</w:t>
      </w:r>
    </w:p>
    <w:p w14:paraId="494CD609" w14:textId="77777777" w:rsidR="00170E55" w:rsidRPr="00F81E98" w:rsidRDefault="00170E55" w:rsidP="006031DE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3BBE486" w14:textId="77777777" w:rsidR="00170E55" w:rsidRPr="00F81E98" w:rsidRDefault="00170E55" w:rsidP="006031D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W przypadku nieprzestrzegania przez uczestnika Programu </w:t>
      </w:r>
      <w:r w:rsidR="004541EC" w:rsidRPr="00F81E98">
        <w:rPr>
          <w:rFonts w:ascii="Verdana" w:hAnsi="Verdana"/>
          <w:sz w:val="20"/>
          <w:szCs w:val="20"/>
        </w:rPr>
        <w:t xml:space="preserve">zasad udziału </w:t>
      </w:r>
      <w:r w:rsidR="004541EC" w:rsidRPr="00F81E98">
        <w:rPr>
          <w:rFonts w:ascii="Verdana" w:hAnsi="Verdana"/>
          <w:sz w:val="20"/>
          <w:szCs w:val="20"/>
        </w:rPr>
        <w:br/>
        <w:t>w Programie</w:t>
      </w:r>
      <w:r w:rsidRPr="00F81E98">
        <w:rPr>
          <w:rFonts w:ascii="Verdana" w:hAnsi="Verdana"/>
          <w:sz w:val="20"/>
          <w:szCs w:val="20"/>
        </w:rPr>
        <w:t xml:space="preserve">, w szczególności </w:t>
      </w:r>
      <w:r w:rsidR="004541EC" w:rsidRPr="00F81E98">
        <w:rPr>
          <w:rFonts w:ascii="Verdana" w:hAnsi="Verdana"/>
          <w:sz w:val="20"/>
          <w:szCs w:val="20"/>
        </w:rPr>
        <w:t xml:space="preserve">wymogów/warunków </w:t>
      </w:r>
      <w:r w:rsidRPr="00F81E98">
        <w:rPr>
          <w:rFonts w:ascii="Verdana" w:hAnsi="Verdana"/>
          <w:sz w:val="20"/>
          <w:szCs w:val="20"/>
        </w:rPr>
        <w:t xml:space="preserve"> animowania, o których mowa </w:t>
      </w:r>
      <w:r w:rsidR="004541EC" w:rsidRPr="00F81E98">
        <w:rPr>
          <w:rFonts w:ascii="Verdana" w:hAnsi="Verdana"/>
          <w:sz w:val="20"/>
          <w:szCs w:val="20"/>
        </w:rPr>
        <w:t xml:space="preserve">w punkcie 7 </w:t>
      </w:r>
      <w:r w:rsidR="003B693F" w:rsidRPr="00F81E98">
        <w:rPr>
          <w:rFonts w:ascii="Verdana" w:hAnsi="Verdana"/>
          <w:sz w:val="20"/>
          <w:szCs w:val="20"/>
        </w:rPr>
        <w:t>– 8</w:t>
      </w:r>
      <w:r w:rsidR="00495EFD" w:rsidRPr="00F81E98">
        <w:rPr>
          <w:rFonts w:ascii="Verdana" w:hAnsi="Verdana"/>
          <w:sz w:val="20"/>
          <w:szCs w:val="20"/>
        </w:rPr>
        <w:t xml:space="preserve"> </w:t>
      </w:r>
      <w:r w:rsidRPr="00F81E98">
        <w:rPr>
          <w:rFonts w:ascii="Verdana" w:hAnsi="Verdana"/>
          <w:sz w:val="20"/>
          <w:szCs w:val="20"/>
        </w:rPr>
        <w:t xml:space="preserve">powyżej, GPW może postanowić o </w:t>
      </w:r>
      <w:r w:rsidR="004541EC" w:rsidRPr="00F81E98">
        <w:rPr>
          <w:rFonts w:ascii="Verdana" w:hAnsi="Verdana"/>
          <w:sz w:val="20"/>
          <w:szCs w:val="20"/>
        </w:rPr>
        <w:t xml:space="preserve">wypowiedzeniu Umowy ze skutkiem natychmiastowym.   </w:t>
      </w:r>
    </w:p>
    <w:p w14:paraId="7A3AA691" w14:textId="77777777" w:rsidR="009C22E5" w:rsidRPr="00F81E98" w:rsidRDefault="009C22E5" w:rsidP="009C22E5">
      <w:pPr>
        <w:pStyle w:val="Akapitzlist"/>
        <w:rPr>
          <w:rFonts w:ascii="Verdana" w:hAnsi="Verdana"/>
          <w:sz w:val="20"/>
          <w:szCs w:val="20"/>
        </w:rPr>
      </w:pPr>
    </w:p>
    <w:p w14:paraId="37150A3A" w14:textId="77777777" w:rsidR="009C22E5" w:rsidRPr="00F81E98" w:rsidRDefault="009C22E5" w:rsidP="009C22E5">
      <w:pPr>
        <w:pStyle w:val="Akapitzlist"/>
        <w:spacing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D362F28" w14:textId="77777777" w:rsidR="004541EC" w:rsidRPr="00F81E98" w:rsidRDefault="00935EE9" w:rsidP="006031DE">
      <w:pPr>
        <w:pStyle w:val="Akapitzlist"/>
        <w:numPr>
          <w:ilvl w:val="3"/>
          <w:numId w:val="1"/>
        </w:numPr>
        <w:spacing w:after="120" w:line="360" w:lineRule="auto"/>
        <w:rPr>
          <w:rFonts w:ascii="Verdana" w:hAnsi="Verdana" w:cs="Arial"/>
          <w:b/>
          <w:sz w:val="20"/>
          <w:szCs w:val="20"/>
        </w:rPr>
      </w:pPr>
      <w:r w:rsidRPr="00F81E98">
        <w:rPr>
          <w:rFonts w:ascii="Verdana" w:hAnsi="Verdana" w:cs="Arial"/>
          <w:b/>
          <w:sz w:val="20"/>
          <w:szCs w:val="20"/>
        </w:rPr>
        <w:t>Wynagrodzenie.</w:t>
      </w:r>
    </w:p>
    <w:p w14:paraId="62BBF46F" w14:textId="77777777" w:rsidR="004541EC" w:rsidRPr="00F81E98" w:rsidRDefault="004541EC" w:rsidP="006031DE">
      <w:pPr>
        <w:pStyle w:val="Akapitzlist"/>
        <w:spacing w:after="120" w:line="360" w:lineRule="auto"/>
        <w:ind w:left="567"/>
        <w:rPr>
          <w:rFonts w:ascii="Verdana" w:hAnsi="Verdana" w:cs="Arial"/>
          <w:b/>
          <w:sz w:val="20"/>
          <w:szCs w:val="20"/>
        </w:rPr>
      </w:pPr>
    </w:p>
    <w:p w14:paraId="5F9D3D89" w14:textId="77777777" w:rsidR="00EE7607" w:rsidRPr="00F81E98" w:rsidRDefault="00114482" w:rsidP="006031DE">
      <w:pPr>
        <w:pStyle w:val="Akapitzlist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F81E98">
        <w:rPr>
          <w:rFonts w:ascii="Verdana" w:hAnsi="Verdana" w:cs="Arial"/>
          <w:sz w:val="20"/>
          <w:szCs w:val="20"/>
        </w:rPr>
        <w:t xml:space="preserve">Wynagrodzenie w formie udziału w opłatach Giełdy, w zakresie </w:t>
      </w:r>
      <w:r w:rsidRPr="00F81E98">
        <w:rPr>
          <w:rFonts w:ascii="Verdana" w:hAnsi="Verdana" w:cs="Arial"/>
          <w:sz w:val="20"/>
          <w:szCs w:val="20"/>
        </w:rPr>
        <w:br/>
        <w:t>i na zasadach określonych poniżej przysługuje wyłącznie tym podmiotom, które w danym miesiącu uzyskały status SuperAnimatora dla kontraktów terminowych na akcje</w:t>
      </w:r>
      <w:r w:rsidR="00D916CF" w:rsidRPr="00F81E98">
        <w:rPr>
          <w:rFonts w:ascii="Verdana" w:hAnsi="Verdana"/>
          <w:color w:val="000000"/>
          <w:sz w:val="20"/>
          <w:szCs w:val="20"/>
        </w:rPr>
        <w:t>.</w:t>
      </w:r>
    </w:p>
    <w:p w14:paraId="2E4E8A3C" w14:textId="77777777" w:rsidR="00496609" w:rsidRPr="00F81E98" w:rsidRDefault="00170E55" w:rsidP="006031DE">
      <w:pPr>
        <w:pStyle w:val="Akapitzlist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color w:val="000000"/>
          <w:sz w:val="20"/>
          <w:szCs w:val="20"/>
        </w:rPr>
        <w:lastRenderedPageBreak/>
        <w:t xml:space="preserve">Czynności SuperAnimatora podejmowane w ramach udziału w Programie wynagradzane są w odniesieniu do 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wszystkich </w:t>
      </w:r>
      <w:r w:rsidR="00AA5D9B" w:rsidRPr="00F81E98">
        <w:rPr>
          <w:rFonts w:ascii="Verdana" w:hAnsi="Verdana"/>
          <w:color w:val="000000"/>
          <w:sz w:val="20"/>
          <w:szCs w:val="20"/>
        </w:rPr>
        <w:t xml:space="preserve">animowanych 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serii </w:t>
      </w:r>
      <w:r w:rsidR="00DB3734" w:rsidRPr="00F81E98">
        <w:rPr>
          <w:rFonts w:ascii="Verdana" w:hAnsi="Verdana"/>
          <w:color w:val="000000"/>
          <w:sz w:val="20"/>
          <w:szCs w:val="20"/>
        </w:rPr>
        <w:t>kontraktów</w:t>
      </w:r>
      <w:r w:rsidR="006031DE" w:rsidRPr="00F81E98">
        <w:rPr>
          <w:rFonts w:ascii="Verdana" w:hAnsi="Verdana"/>
          <w:sz w:val="20"/>
          <w:szCs w:val="20"/>
        </w:rPr>
        <w:t xml:space="preserve">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57740A" w:rsidRPr="00F81E98">
        <w:rPr>
          <w:rFonts w:ascii="Verdana" w:hAnsi="Verdana"/>
          <w:sz w:val="20"/>
          <w:szCs w:val="20"/>
        </w:rPr>
        <w:t>na dany instrument bazowy</w:t>
      </w:r>
      <w:r w:rsidR="00C92AF5" w:rsidRPr="00F81E98">
        <w:rPr>
          <w:rFonts w:ascii="Verdana" w:hAnsi="Verdana"/>
          <w:sz w:val="20"/>
          <w:szCs w:val="20"/>
        </w:rPr>
        <w:t xml:space="preserve">, </w:t>
      </w:r>
      <w:r w:rsidR="00496609" w:rsidRPr="00F81E98">
        <w:rPr>
          <w:rFonts w:ascii="Verdana" w:hAnsi="Verdana"/>
          <w:color w:val="000000"/>
          <w:sz w:val="20"/>
          <w:szCs w:val="20"/>
        </w:rPr>
        <w:t xml:space="preserve">w zależności od pozycji danego podmiotu w zestawieniu, o którym mowa w pkt I ppkt </w:t>
      </w:r>
      <w:r w:rsidR="00DB3734" w:rsidRPr="00F81E98">
        <w:rPr>
          <w:rFonts w:ascii="Verdana" w:hAnsi="Verdana"/>
          <w:color w:val="000000"/>
          <w:sz w:val="20"/>
          <w:szCs w:val="20"/>
        </w:rPr>
        <w:t>9</w:t>
      </w:r>
      <w:r w:rsidR="00496609" w:rsidRPr="00F81E98">
        <w:rPr>
          <w:rFonts w:ascii="Verdana" w:hAnsi="Verdana"/>
          <w:sz w:val="20"/>
          <w:szCs w:val="20"/>
        </w:rPr>
        <w:t>.</w:t>
      </w:r>
    </w:p>
    <w:p w14:paraId="1619F4FE" w14:textId="77777777" w:rsidR="006031DE" w:rsidRPr="00F81E98" w:rsidRDefault="006031DE" w:rsidP="006031DE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F81E98">
        <w:rPr>
          <w:rFonts w:ascii="Verdana" w:hAnsi="Verdana"/>
          <w:color w:val="000000"/>
          <w:sz w:val="20"/>
          <w:szCs w:val="20"/>
        </w:rPr>
        <w:t>Na w</w:t>
      </w:r>
      <w:r w:rsidR="00170E55" w:rsidRPr="00F81E98">
        <w:rPr>
          <w:rFonts w:ascii="Verdana" w:hAnsi="Verdana"/>
          <w:color w:val="000000"/>
          <w:sz w:val="20"/>
          <w:szCs w:val="20"/>
        </w:rPr>
        <w:t xml:space="preserve">ynagrodzenie </w:t>
      </w:r>
      <w:r w:rsidRPr="00F81E98">
        <w:rPr>
          <w:rFonts w:ascii="Verdana" w:hAnsi="Verdana"/>
          <w:color w:val="000000"/>
          <w:sz w:val="20"/>
          <w:szCs w:val="20"/>
        </w:rPr>
        <w:t xml:space="preserve">SuperAnimatora składa się: </w:t>
      </w:r>
    </w:p>
    <w:p w14:paraId="7CD87BE7" w14:textId="77777777" w:rsidR="006031DE" w:rsidRPr="00F81E98" w:rsidRDefault="00114482" w:rsidP="00DE7BBB">
      <w:pPr>
        <w:pStyle w:val="Akapitzlist"/>
        <w:numPr>
          <w:ilvl w:val="4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kwota stanowiąca równowartość 50% wartości opłat operacyjnych, </w:t>
      </w:r>
      <w:r w:rsidRPr="00F81E98">
        <w:rPr>
          <w:rFonts w:ascii="Verdana" w:hAnsi="Verdana"/>
          <w:sz w:val="20"/>
          <w:szCs w:val="20"/>
        </w:rPr>
        <w:br/>
        <w:t xml:space="preserve">o których mowa w pkt. </w:t>
      </w:r>
      <w:proofErr w:type="spellStart"/>
      <w:r w:rsidRPr="00F81E98">
        <w:rPr>
          <w:rFonts w:ascii="Verdana" w:hAnsi="Verdana"/>
          <w:sz w:val="20"/>
          <w:szCs w:val="20"/>
        </w:rPr>
        <w:t>5.2.1.h</w:t>
      </w:r>
      <w:proofErr w:type="spellEnd"/>
      <w:r w:rsidRPr="00F81E98">
        <w:rPr>
          <w:rFonts w:ascii="Verdana" w:hAnsi="Verdana"/>
          <w:sz w:val="20"/>
          <w:szCs w:val="20"/>
        </w:rPr>
        <w:t xml:space="preserve"> Załącznika Nr 1 do Regulaminu Giełdy, należnych od danego SuperAnimatora od obrotu wszystkimi seriami kontraktów terminowych na dany instrument bazowy, dokonywanego </w:t>
      </w:r>
      <w:r w:rsidRPr="00F81E98">
        <w:rPr>
          <w:rFonts w:ascii="Verdana" w:hAnsi="Verdana"/>
          <w:sz w:val="20"/>
          <w:szCs w:val="20"/>
        </w:rPr>
        <w:br/>
        <w:t>w ramach wykonywania zadań Animatora Rynku (z wyłączeniem transakcji pakietowych i transakcji typu „cross”)</w:t>
      </w:r>
      <w:r w:rsidR="006031DE" w:rsidRPr="00F81E98">
        <w:rPr>
          <w:rFonts w:ascii="Verdana" w:hAnsi="Verdana"/>
          <w:sz w:val="20"/>
          <w:szCs w:val="20"/>
        </w:rPr>
        <w:t>, oraz</w:t>
      </w:r>
    </w:p>
    <w:p w14:paraId="18163FA3" w14:textId="77777777" w:rsidR="006031DE" w:rsidRPr="00F81E98" w:rsidRDefault="006031DE" w:rsidP="005B0544">
      <w:pPr>
        <w:pStyle w:val="Akapitzlist"/>
        <w:numPr>
          <w:ilvl w:val="4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wartość tzw. </w:t>
      </w:r>
      <w:proofErr w:type="spellStart"/>
      <w:r w:rsidRPr="00F81E98">
        <w:rPr>
          <w:rFonts w:ascii="Verdana" w:hAnsi="Verdana"/>
          <w:sz w:val="20"/>
          <w:szCs w:val="20"/>
        </w:rPr>
        <w:t>revenue</w:t>
      </w:r>
      <w:proofErr w:type="spellEnd"/>
      <w:r w:rsidRPr="00F81E98">
        <w:rPr>
          <w:rFonts w:ascii="Verdana" w:hAnsi="Verdana"/>
          <w:sz w:val="20"/>
          <w:szCs w:val="20"/>
        </w:rPr>
        <w:t xml:space="preserve"> </w:t>
      </w:r>
      <w:proofErr w:type="spellStart"/>
      <w:r w:rsidRPr="00F81E98">
        <w:rPr>
          <w:rFonts w:ascii="Verdana" w:hAnsi="Verdana"/>
          <w:sz w:val="20"/>
          <w:szCs w:val="20"/>
        </w:rPr>
        <w:t>sharing</w:t>
      </w:r>
      <w:proofErr w:type="spellEnd"/>
      <w:r w:rsidR="005B0544" w:rsidRPr="00F81E98">
        <w:rPr>
          <w:rFonts w:ascii="Verdana" w:hAnsi="Verdana"/>
          <w:sz w:val="20"/>
          <w:szCs w:val="20"/>
        </w:rPr>
        <w:t xml:space="preserve">, </w:t>
      </w:r>
      <w:r w:rsidRPr="00F81E98">
        <w:rPr>
          <w:rFonts w:ascii="Verdana" w:hAnsi="Verdana"/>
          <w:sz w:val="20"/>
          <w:szCs w:val="20"/>
        </w:rPr>
        <w:t xml:space="preserve">obliczana zgodnie ze wzorem:  </w:t>
      </w:r>
    </w:p>
    <w:p w14:paraId="2894074A" w14:textId="77777777" w:rsidR="006031DE" w:rsidRPr="00F81E98" w:rsidRDefault="005B0544" w:rsidP="006031DE">
      <w:pPr>
        <w:spacing w:line="360" w:lineRule="auto"/>
        <w:ind w:left="702" w:firstLine="708"/>
        <w:jc w:val="both"/>
        <w:rPr>
          <w:rFonts w:ascii="Verdana" w:hAnsi="Verdana"/>
          <w:sz w:val="20"/>
          <w:szCs w:val="20"/>
          <w:lang w:val="en-US"/>
        </w:rPr>
      </w:pPr>
      <w:r w:rsidRPr="00F81E98">
        <w:rPr>
          <w:rFonts w:ascii="Verdana" w:hAnsi="Verdana"/>
          <w:sz w:val="20"/>
          <w:szCs w:val="20"/>
          <w:lang w:val="en-US"/>
        </w:rPr>
        <w:t xml:space="preserve">revenue sharing = Z * P </w:t>
      </w:r>
      <w:r w:rsidR="006031DE" w:rsidRPr="00F81E98">
        <w:rPr>
          <w:rFonts w:ascii="Verdana" w:hAnsi="Verdana"/>
          <w:sz w:val="20"/>
          <w:szCs w:val="20"/>
          <w:lang w:val="en-US"/>
        </w:rPr>
        <w:t>%</w:t>
      </w:r>
    </w:p>
    <w:p w14:paraId="51E868C4" w14:textId="77777777" w:rsidR="006031DE" w:rsidRPr="00F81E98" w:rsidRDefault="006031DE" w:rsidP="005B0544">
      <w:pPr>
        <w:spacing w:after="120" w:line="360" w:lineRule="auto"/>
        <w:ind w:left="1410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F81E98">
        <w:rPr>
          <w:rFonts w:ascii="Verdana" w:hAnsi="Verdana"/>
          <w:sz w:val="20"/>
          <w:szCs w:val="20"/>
          <w:lang w:val="en-US"/>
        </w:rPr>
        <w:t>gdzie</w:t>
      </w:r>
      <w:proofErr w:type="spellEnd"/>
      <w:r w:rsidRPr="00F81E98">
        <w:rPr>
          <w:rFonts w:ascii="Verdana" w:hAnsi="Verdana"/>
          <w:sz w:val="20"/>
          <w:szCs w:val="20"/>
          <w:lang w:val="en-US"/>
        </w:rPr>
        <w:t>:</w:t>
      </w:r>
    </w:p>
    <w:p w14:paraId="5C07FA99" w14:textId="77777777" w:rsidR="006031DE" w:rsidRPr="00F81E98" w:rsidRDefault="009C22E5" w:rsidP="00335DE9">
      <w:pPr>
        <w:spacing w:after="240" w:line="360" w:lineRule="auto"/>
        <w:ind w:left="1434"/>
        <w:jc w:val="both"/>
        <w:rPr>
          <w:rFonts w:ascii="Verdana" w:hAnsi="Verdana"/>
          <w:color w:val="000000"/>
          <w:sz w:val="20"/>
          <w:szCs w:val="20"/>
        </w:rPr>
      </w:pPr>
      <w:r w:rsidRPr="00F81E98">
        <w:rPr>
          <w:rFonts w:ascii="Verdana" w:hAnsi="Verdana"/>
          <w:color w:val="000000"/>
          <w:sz w:val="20"/>
          <w:szCs w:val="20"/>
        </w:rPr>
        <w:t xml:space="preserve">Z – oznacza 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przychód uzyskany przez Giełdę z tytułu opłat operacyjnych od transakcji </w:t>
      </w:r>
      <w:r w:rsidR="00450930" w:rsidRPr="00F81E98">
        <w:rPr>
          <w:rFonts w:ascii="Verdana" w:hAnsi="Verdana"/>
          <w:sz w:val="20"/>
          <w:szCs w:val="20"/>
        </w:rPr>
        <w:t xml:space="preserve">wszystkimi seriami kontraktów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450930" w:rsidRPr="00F81E98">
        <w:rPr>
          <w:rFonts w:ascii="Verdana" w:hAnsi="Verdana"/>
          <w:sz w:val="20"/>
          <w:szCs w:val="20"/>
        </w:rPr>
        <w:t>na dany instrument bazowy</w:t>
      </w:r>
      <w:r w:rsidR="00450930" w:rsidRPr="00F81E98">
        <w:rPr>
          <w:rFonts w:ascii="Verdana" w:hAnsi="Verdana"/>
          <w:color w:val="000000"/>
          <w:sz w:val="20"/>
          <w:szCs w:val="20"/>
        </w:rPr>
        <w:t xml:space="preserve">, 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z wyłączeniem transakcji pakietowych i </w:t>
      </w:r>
      <w:r w:rsidR="005B0544" w:rsidRPr="00F81E98">
        <w:rPr>
          <w:rFonts w:ascii="Verdana" w:hAnsi="Verdana"/>
          <w:color w:val="000000"/>
          <w:sz w:val="20"/>
          <w:szCs w:val="20"/>
        </w:rPr>
        <w:t xml:space="preserve">transakcji 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typu „cross”, których stroną był dany SuperAnimator w ramach udziału w Programie, pobieranych od stron transakcji niebędących </w:t>
      </w:r>
      <w:r w:rsidR="00450930" w:rsidRPr="00F81E98">
        <w:rPr>
          <w:rFonts w:ascii="Verdana" w:hAnsi="Verdana"/>
          <w:color w:val="000000"/>
          <w:sz w:val="20"/>
          <w:szCs w:val="20"/>
        </w:rPr>
        <w:t>A</w:t>
      </w:r>
      <w:r w:rsidR="006031DE" w:rsidRPr="00F81E98">
        <w:rPr>
          <w:rFonts w:ascii="Verdana" w:hAnsi="Verdana"/>
          <w:color w:val="000000"/>
          <w:sz w:val="20"/>
          <w:szCs w:val="20"/>
        </w:rPr>
        <w:t>nimator</w:t>
      </w:r>
      <w:r w:rsidR="005B0544" w:rsidRPr="00F81E98">
        <w:rPr>
          <w:rFonts w:ascii="Verdana" w:hAnsi="Verdana"/>
          <w:color w:val="000000"/>
          <w:sz w:val="20"/>
          <w:szCs w:val="20"/>
        </w:rPr>
        <w:t>ami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 Ry</w:t>
      </w:r>
      <w:r w:rsidR="005B0544" w:rsidRPr="00F81E98">
        <w:rPr>
          <w:rFonts w:ascii="Verdana" w:hAnsi="Verdana"/>
          <w:color w:val="000000"/>
          <w:sz w:val="20"/>
          <w:szCs w:val="20"/>
        </w:rPr>
        <w:t>nku, na podstawie pkt</w:t>
      </w:r>
      <w:r w:rsidR="006031DE" w:rsidRPr="00F81E98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6031DE" w:rsidRPr="00F81E98">
        <w:rPr>
          <w:rFonts w:ascii="Verdana" w:hAnsi="Verdana"/>
          <w:color w:val="000000"/>
          <w:sz w:val="20"/>
          <w:szCs w:val="20"/>
        </w:rPr>
        <w:t>4</w:t>
      </w:r>
      <w:r w:rsidR="00450930" w:rsidRPr="00F81E98">
        <w:rPr>
          <w:rFonts w:ascii="Verdana" w:hAnsi="Verdana"/>
          <w:color w:val="000000"/>
          <w:sz w:val="20"/>
          <w:szCs w:val="20"/>
        </w:rPr>
        <w:t>.1.d</w:t>
      </w:r>
      <w:proofErr w:type="spellEnd"/>
      <w:r w:rsidR="006031DE" w:rsidRPr="00F81E98">
        <w:rPr>
          <w:rFonts w:ascii="Verdana" w:hAnsi="Verdana"/>
          <w:color w:val="000000"/>
          <w:sz w:val="20"/>
          <w:szCs w:val="20"/>
        </w:rPr>
        <w:t xml:space="preserve"> Załąc</w:t>
      </w:r>
      <w:r w:rsidR="003B693F" w:rsidRPr="00F81E98">
        <w:rPr>
          <w:rFonts w:ascii="Verdana" w:hAnsi="Verdana"/>
          <w:color w:val="000000"/>
          <w:sz w:val="20"/>
          <w:szCs w:val="20"/>
        </w:rPr>
        <w:t xml:space="preserve">znika Nr </w:t>
      </w:r>
      <w:r w:rsidR="005B0544" w:rsidRPr="00F81E98">
        <w:rPr>
          <w:rFonts w:ascii="Verdana" w:hAnsi="Verdana"/>
          <w:color w:val="000000"/>
          <w:sz w:val="20"/>
          <w:szCs w:val="20"/>
        </w:rPr>
        <w:t>1</w:t>
      </w:r>
      <w:r w:rsidR="00C10888" w:rsidRPr="00F81E98">
        <w:rPr>
          <w:rFonts w:ascii="Verdana" w:hAnsi="Verdana"/>
          <w:color w:val="000000"/>
          <w:sz w:val="20"/>
          <w:szCs w:val="20"/>
        </w:rPr>
        <w:t xml:space="preserve"> </w:t>
      </w:r>
      <w:r w:rsidR="005B0544" w:rsidRPr="00F81E98">
        <w:rPr>
          <w:rFonts w:ascii="Verdana" w:hAnsi="Verdana"/>
          <w:color w:val="000000"/>
          <w:sz w:val="20"/>
          <w:szCs w:val="20"/>
        </w:rPr>
        <w:t>do Regulaminu Giełdy;</w:t>
      </w:r>
    </w:p>
    <w:p w14:paraId="39259FCA" w14:textId="77777777" w:rsidR="006031DE" w:rsidRPr="00F81E98" w:rsidRDefault="006031DE" w:rsidP="00335DE9">
      <w:pPr>
        <w:spacing w:after="120" w:line="360" w:lineRule="auto"/>
        <w:ind w:left="702" w:firstLine="716"/>
        <w:jc w:val="both"/>
        <w:rPr>
          <w:rFonts w:ascii="Verdana" w:hAnsi="Verdana"/>
          <w:color w:val="000000"/>
          <w:sz w:val="20"/>
          <w:szCs w:val="20"/>
        </w:rPr>
      </w:pPr>
      <w:r w:rsidRPr="00F81E98">
        <w:rPr>
          <w:rFonts w:ascii="Verdana" w:hAnsi="Verdana"/>
          <w:color w:val="000000"/>
          <w:sz w:val="20"/>
          <w:szCs w:val="20"/>
        </w:rPr>
        <w:t>P</w:t>
      </w:r>
      <w:r w:rsidR="005B0544" w:rsidRPr="00F81E98">
        <w:rPr>
          <w:rFonts w:ascii="Verdana" w:hAnsi="Verdana"/>
          <w:color w:val="000000"/>
          <w:sz w:val="20"/>
          <w:szCs w:val="20"/>
        </w:rPr>
        <w:t xml:space="preserve"> </w:t>
      </w:r>
      <w:r w:rsidRPr="00F81E98">
        <w:rPr>
          <w:rFonts w:ascii="Verdana" w:hAnsi="Verdana"/>
          <w:color w:val="000000"/>
          <w:sz w:val="20"/>
          <w:szCs w:val="20"/>
        </w:rPr>
        <w:t>% - wynosi:</w:t>
      </w:r>
    </w:p>
    <w:tbl>
      <w:tblPr>
        <w:tblW w:w="6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9"/>
        <w:gridCol w:w="2328"/>
      </w:tblGrid>
      <w:tr w:rsidR="006031DE" w:rsidRPr="00F81E98" w14:paraId="7BBF58F7" w14:textId="77777777" w:rsidTr="00BE0F4B">
        <w:trPr>
          <w:trHeight w:val="285"/>
          <w:jc w:val="center"/>
        </w:trPr>
        <w:tc>
          <w:tcPr>
            <w:tcW w:w="3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bottom"/>
            <w:hideMark/>
          </w:tcPr>
          <w:p w14:paraId="736FEAE9" w14:textId="77777777" w:rsidR="005B0544" w:rsidRPr="00F81E98" w:rsidRDefault="006031DE" w:rsidP="005B0544">
            <w:pPr>
              <w:spacing w:line="360" w:lineRule="auto"/>
              <w:ind w:left="-8" w:firstLine="42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 xml:space="preserve">Pozycja SuperAnimatora </w:t>
            </w:r>
          </w:p>
          <w:p w14:paraId="2793E761" w14:textId="77777777" w:rsidR="006031DE" w:rsidRPr="00F81E98" w:rsidRDefault="006031DE" w:rsidP="005B0544">
            <w:pPr>
              <w:spacing w:line="360" w:lineRule="auto"/>
              <w:ind w:left="-8" w:firstLine="425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>w danym miesiącu</w:t>
            </w:r>
          </w:p>
        </w:tc>
        <w:tc>
          <w:tcPr>
            <w:tcW w:w="2328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4F81BD"/>
            </w:tcBorders>
            <w:noWrap/>
            <w:vAlign w:val="center"/>
            <w:hideMark/>
          </w:tcPr>
          <w:p w14:paraId="70203C18" w14:textId="77777777" w:rsidR="006031DE" w:rsidRPr="00F81E98" w:rsidRDefault="006031DE" w:rsidP="006031DE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>Revenue</w:t>
            </w:r>
            <w:proofErr w:type="spellEnd"/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FAE45FA" w14:textId="77777777" w:rsidR="006031DE" w:rsidRPr="00F81E98" w:rsidRDefault="006031DE" w:rsidP="006031DE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>sharing</w:t>
            </w:r>
            <w:proofErr w:type="spellEnd"/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 xml:space="preserve"> P (</w:t>
            </w:r>
            <w:r w:rsidR="005B0544" w:rsidRPr="00F81E98">
              <w:rPr>
                <w:rFonts w:ascii="Verdana" w:hAnsi="Verdana"/>
                <w:b/>
                <w:bCs/>
                <w:sz w:val="20"/>
                <w:szCs w:val="20"/>
              </w:rPr>
              <w:t xml:space="preserve">w </w:t>
            </w:r>
            <w:r w:rsidRPr="00F81E98">
              <w:rPr>
                <w:rFonts w:ascii="Verdana" w:hAnsi="Verdana"/>
                <w:b/>
                <w:bCs/>
                <w:sz w:val="20"/>
                <w:szCs w:val="20"/>
              </w:rPr>
              <w:t>%)</w:t>
            </w:r>
          </w:p>
        </w:tc>
      </w:tr>
      <w:tr w:rsidR="006031DE" w:rsidRPr="00F81E98" w14:paraId="30F29433" w14:textId="77777777" w:rsidTr="005B0544">
        <w:trPr>
          <w:trHeight w:val="285"/>
          <w:jc w:val="center"/>
        </w:trPr>
        <w:tc>
          <w:tcPr>
            <w:tcW w:w="3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center"/>
            <w:hideMark/>
          </w:tcPr>
          <w:p w14:paraId="76C4F111" w14:textId="77777777" w:rsidR="006031DE" w:rsidRPr="00F81E98" w:rsidRDefault="006031DE" w:rsidP="006031D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1E98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2328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4F81BD"/>
            </w:tcBorders>
            <w:noWrap/>
            <w:vAlign w:val="center"/>
            <w:hideMark/>
          </w:tcPr>
          <w:p w14:paraId="7C610465" w14:textId="77777777" w:rsidR="006031DE" w:rsidRPr="00F81E98" w:rsidRDefault="00450930" w:rsidP="006031D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1E98">
              <w:rPr>
                <w:rFonts w:ascii="Verdana" w:hAnsi="Verdana"/>
                <w:sz w:val="20"/>
                <w:szCs w:val="20"/>
              </w:rPr>
              <w:t>3</w:t>
            </w:r>
            <w:r w:rsidR="006031DE" w:rsidRPr="00F81E98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6031DE" w:rsidRPr="00F81E98" w14:paraId="631738A9" w14:textId="77777777" w:rsidTr="005B0544">
        <w:trPr>
          <w:trHeight w:val="285"/>
          <w:jc w:val="center"/>
        </w:trPr>
        <w:tc>
          <w:tcPr>
            <w:tcW w:w="3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center"/>
            <w:hideMark/>
          </w:tcPr>
          <w:p w14:paraId="652C2598" w14:textId="77777777" w:rsidR="006031DE" w:rsidRPr="00F81E98" w:rsidRDefault="006031DE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1E98">
              <w:rPr>
                <w:rFonts w:ascii="Verdana" w:hAnsi="Verdana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328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4F81BD"/>
            </w:tcBorders>
            <w:noWrap/>
            <w:vAlign w:val="center"/>
            <w:hideMark/>
          </w:tcPr>
          <w:p w14:paraId="69AB137B" w14:textId="77777777" w:rsidR="006031DE" w:rsidRPr="00F81E98" w:rsidRDefault="00450930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1E98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  <w:r w:rsidR="006031DE" w:rsidRPr="00F81E98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  <w:tr w:rsidR="006031DE" w:rsidRPr="00F81E98" w14:paraId="689211F4" w14:textId="77777777" w:rsidTr="005B0544">
        <w:trPr>
          <w:trHeight w:val="285"/>
          <w:jc w:val="center"/>
        </w:trPr>
        <w:tc>
          <w:tcPr>
            <w:tcW w:w="38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auto"/>
            </w:tcBorders>
            <w:noWrap/>
            <w:vAlign w:val="center"/>
            <w:hideMark/>
          </w:tcPr>
          <w:p w14:paraId="0CE5A994" w14:textId="77777777" w:rsidR="006031DE" w:rsidRPr="00F81E98" w:rsidRDefault="006031DE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1E98">
              <w:rPr>
                <w:rFonts w:ascii="Verdana" w:hAnsi="Verdana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328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noWrap/>
            <w:vAlign w:val="center"/>
            <w:hideMark/>
          </w:tcPr>
          <w:p w14:paraId="61A741BE" w14:textId="77777777" w:rsidR="006031DE" w:rsidRPr="00F81E98" w:rsidRDefault="00450930" w:rsidP="006031DE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81E98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="006031DE" w:rsidRPr="00F81E98">
              <w:rPr>
                <w:rFonts w:ascii="Verdana" w:hAnsi="Verdana"/>
                <w:color w:val="000000"/>
                <w:sz w:val="20"/>
                <w:szCs w:val="20"/>
              </w:rPr>
              <w:t>0</w:t>
            </w:r>
          </w:p>
        </w:tc>
      </w:tr>
    </w:tbl>
    <w:p w14:paraId="46C7A81D" w14:textId="77777777" w:rsidR="006031DE" w:rsidRPr="00F81E98" w:rsidRDefault="006031DE" w:rsidP="006031DE">
      <w:pPr>
        <w:spacing w:line="360" w:lineRule="auto"/>
        <w:rPr>
          <w:rFonts w:ascii="Verdana" w:hAnsi="Verdana"/>
          <w:sz w:val="20"/>
          <w:szCs w:val="20"/>
        </w:rPr>
      </w:pPr>
    </w:p>
    <w:p w14:paraId="74893EA4" w14:textId="77777777" w:rsidR="00170E55" w:rsidRPr="00F81E98" w:rsidRDefault="00170E55" w:rsidP="006031DE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0351F2D" w14:textId="77777777" w:rsidR="00170E55" w:rsidRPr="00F81E98" w:rsidRDefault="00170E55" w:rsidP="005B0544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W ciągu 10 dni roboczych następujących po każdym miesiącu </w:t>
      </w:r>
      <w:r w:rsidR="00496609" w:rsidRPr="00F81E98">
        <w:rPr>
          <w:rFonts w:ascii="Verdana" w:hAnsi="Verdana"/>
          <w:sz w:val="20"/>
          <w:szCs w:val="20"/>
        </w:rPr>
        <w:t xml:space="preserve">kalendarzowym podlegającym ocenie, GPW </w:t>
      </w:r>
      <w:r w:rsidRPr="00F81E98">
        <w:rPr>
          <w:rFonts w:ascii="Verdana" w:hAnsi="Verdana"/>
          <w:sz w:val="20"/>
          <w:szCs w:val="20"/>
        </w:rPr>
        <w:t xml:space="preserve">informuje </w:t>
      </w:r>
      <w:r w:rsidR="00992255" w:rsidRPr="00F81E98">
        <w:rPr>
          <w:rFonts w:ascii="Verdana" w:hAnsi="Verdana"/>
          <w:sz w:val="20"/>
          <w:szCs w:val="20"/>
        </w:rPr>
        <w:t xml:space="preserve">właściwych </w:t>
      </w:r>
      <w:r w:rsidRPr="00F81E98">
        <w:rPr>
          <w:rFonts w:ascii="Verdana" w:hAnsi="Verdana"/>
          <w:sz w:val="20"/>
          <w:szCs w:val="20"/>
        </w:rPr>
        <w:t xml:space="preserve">uczestników Programu </w:t>
      </w:r>
      <w:r w:rsidR="00992255" w:rsidRPr="00F81E98">
        <w:rPr>
          <w:rFonts w:ascii="Verdana" w:hAnsi="Verdana"/>
          <w:sz w:val="20"/>
          <w:szCs w:val="20"/>
        </w:rPr>
        <w:br/>
      </w:r>
      <w:r w:rsidRPr="00F81E98">
        <w:rPr>
          <w:rFonts w:ascii="Verdana" w:hAnsi="Verdana"/>
          <w:sz w:val="20"/>
          <w:szCs w:val="20"/>
        </w:rPr>
        <w:t>o uzyskaniu</w:t>
      </w:r>
      <w:r w:rsidR="00496609" w:rsidRPr="00F81E98">
        <w:rPr>
          <w:rFonts w:ascii="Verdana" w:hAnsi="Verdana"/>
          <w:sz w:val="20"/>
          <w:szCs w:val="20"/>
        </w:rPr>
        <w:t xml:space="preserve"> </w:t>
      </w:r>
      <w:r w:rsidR="00992255" w:rsidRPr="00F81E98">
        <w:rPr>
          <w:rFonts w:ascii="Verdana" w:hAnsi="Verdana"/>
          <w:sz w:val="20"/>
          <w:szCs w:val="20"/>
        </w:rPr>
        <w:t xml:space="preserve">przez nich </w:t>
      </w:r>
      <w:r w:rsidRPr="00F81E98">
        <w:rPr>
          <w:rFonts w:ascii="Verdana" w:hAnsi="Verdana"/>
          <w:sz w:val="20"/>
          <w:szCs w:val="20"/>
        </w:rPr>
        <w:t>w danym miesiącu statusu SuperAnimatora</w:t>
      </w:r>
      <w:r w:rsidR="00992255" w:rsidRPr="00F81E98">
        <w:rPr>
          <w:rFonts w:ascii="Verdana" w:hAnsi="Verdana"/>
          <w:sz w:val="20"/>
          <w:szCs w:val="20"/>
        </w:rPr>
        <w:t>,</w:t>
      </w:r>
      <w:r w:rsidRPr="00F81E98">
        <w:rPr>
          <w:rFonts w:ascii="Verdana" w:hAnsi="Verdana"/>
          <w:sz w:val="20"/>
          <w:szCs w:val="20"/>
        </w:rPr>
        <w:t xml:space="preserve"> </w:t>
      </w:r>
      <w:r w:rsidR="005B0544" w:rsidRPr="00F81E98">
        <w:rPr>
          <w:rFonts w:ascii="Verdana" w:hAnsi="Verdana"/>
          <w:sz w:val="20"/>
          <w:szCs w:val="20"/>
        </w:rPr>
        <w:br/>
      </w:r>
      <w:r w:rsidRPr="00F81E98">
        <w:rPr>
          <w:rFonts w:ascii="Verdana" w:hAnsi="Verdana"/>
          <w:sz w:val="20"/>
          <w:szCs w:val="20"/>
        </w:rPr>
        <w:t xml:space="preserve">dla </w:t>
      </w:r>
      <w:r w:rsidR="00FF074D" w:rsidRPr="00F81E98">
        <w:rPr>
          <w:rFonts w:ascii="Verdana" w:hAnsi="Verdana"/>
          <w:sz w:val="20"/>
          <w:szCs w:val="20"/>
        </w:rPr>
        <w:t>kontraktów</w:t>
      </w:r>
      <w:r w:rsidR="0057740A" w:rsidRPr="00F81E98">
        <w:rPr>
          <w:rFonts w:ascii="Verdana" w:hAnsi="Verdana"/>
          <w:sz w:val="20"/>
          <w:szCs w:val="20"/>
        </w:rPr>
        <w:t xml:space="preserve"> </w:t>
      </w:r>
      <w:r w:rsidR="00F01DB3" w:rsidRPr="00F81E98">
        <w:rPr>
          <w:rFonts w:ascii="Verdana" w:hAnsi="Verdana"/>
          <w:sz w:val="20"/>
          <w:szCs w:val="20"/>
        </w:rPr>
        <w:t xml:space="preserve">terminowych </w:t>
      </w:r>
      <w:r w:rsidR="0057740A" w:rsidRPr="00F81E98">
        <w:rPr>
          <w:rFonts w:ascii="Verdana" w:hAnsi="Verdana"/>
          <w:sz w:val="20"/>
          <w:szCs w:val="20"/>
        </w:rPr>
        <w:t>na dany instrument bazowy</w:t>
      </w:r>
      <w:r w:rsidR="00FF074D" w:rsidRPr="00F81E98">
        <w:rPr>
          <w:rFonts w:ascii="Verdana" w:hAnsi="Verdana"/>
          <w:sz w:val="20"/>
          <w:szCs w:val="20"/>
        </w:rPr>
        <w:t xml:space="preserve">, </w:t>
      </w:r>
      <w:r w:rsidRPr="00F81E98">
        <w:rPr>
          <w:rFonts w:ascii="Verdana" w:hAnsi="Verdana"/>
          <w:sz w:val="20"/>
          <w:szCs w:val="20"/>
        </w:rPr>
        <w:t>oraz przeka</w:t>
      </w:r>
      <w:r w:rsidR="00496609" w:rsidRPr="00F81E98">
        <w:rPr>
          <w:rFonts w:ascii="Verdana" w:hAnsi="Verdana"/>
          <w:sz w:val="20"/>
          <w:szCs w:val="20"/>
        </w:rPr>
        <w:t xml:space="preserve">zuje </w:t>
      </w:r>
      <w:r w:rsidR="00992255" w:rsidRPr="00F81E98">
        <w:rPr>
          <w:rFonts w:ascii="Verdana" w:hAnsi="Verdana"/>
          <w:sz w:val="20"/>
          <w:szCs w:val="20"/>
        </w:rPr>
        <w:t xml:space="preserve">tym </w:t>
      </w:r>
      <w:proofErr w:type="spellStart"/>
      <w:r w:rsidRPr="00F81E98">
        <w:rPr>
          <w:rFonts w:ascii="Verdana" w:hAnsi="Verdana"/>
          <w:sz w:val="20"/>
          <w:szCs w:val="20"/>
        </w:rPr>
        <w:t>SuperAnimatorom</w:t>
      </w:r>
      <w:proofErr w:type="spellEnd"/>
      <w:r w:rsidRPr="00F81E98">
        <w:rPr>
          <w:rFonts w:ascii="Verdana" w:hAnsi="Verdana"/>
          <w:sz w:val="20"/>
          <w:szCs w:val="20"/>
        </w:rPr>
        <w:t xml:space="preserve"> następujące informacje:</w:t>
      </w:r>
    </w:p>
    <w:p w14:paraId="20F9D618" w14:textId="77777777" w:rsidR="00C95C55" w:rsidRPr="00F81E98" w:rsidRDefault="00C95C55" w:rsidP="003B693F">
      <w:pPr>
        <w:numPr>
          <w:ilvl w:val="0"/>
          <w:numId w:val="6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F81E98">
        <w:rPr>
          <w:rFonts w:ascii="Verdana" w:hAnsi="Verdana"/>
          <w:color w:val="000000"/>
          <w:sz w:val="20"/>
          <w:szCs w:val="20"/>
        </w:rPr>
        <w:t xml:space="preserve">wysokość kwoty, o której mowa w pkt 3 ppkt 1) powyżej,  </w:t>
      </w:r>
    </w:p>
    <w:p w14:paraId="2B971AE8" w14:textId="77777777" w:rsidR="005B0544" w:rsidRPr="00F81E98" w:rsidRDefault="005B0544" w:rsidP="003B693F">
      <w:pPr>
        <w:numPr>
          <w:ilvl w:val="0"/>
          <w:numId w:val="6"/>
        </w:numPr>
        <w:tabs>
          <w:tab w:val="num" w:pos="709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wartość parametru Z, </w:t>
      </w:r>
    </w:p>
    <w:p w14:paraId="5EEFF4FF" w14:textId="77777777" w:rsidR="00170E55" w:rsidRPr="00F81E98" w:rsidRDefault="005B0544" w:rsidP="003B693F">
      <w:pPr>
        <w:numPr>
          <w:ilvl w:val="0"/>
          <w:numId w:val="6"/>
        </w:numPr>
        <w:tabs>
          <w:tab w:val="num" w:pos="709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lastRenderedPageBreak/>
        <w:t xml:space="preserve">wartość </w:t>
      </w:r>
      <w:r w:rsidR="00450930" w:rsidRPr="00F81E98">
        <w:rPr>
          <w:rFonts w:ascii="Verdana" w:hAnsi="Verdana"/>
          <w:sz w:val="20"/>
          <w:szCs w:val="20"/>
        </w:rPr>
        <w:t>parametru P</w:t>
      </w:r>
      <w:r w:rsidR="00495EFD" w:rsidRPr="00F81E98">
        <w:rPr>
          <w:rFonts w:ascii="Verdana" w:hAnsi="Verdana"/>
          <w:sz w:val="20"/>
          <w:szCs w:val="20"/>
        </w:rPr>
        <w:t xml:space="preserve">. </w:t>
      </w:r>
      <w:r w:rsidR="00170E55" w:rsidRPr="00F81E98">
        <w:rPr>
          <w:rFonts w:ascii="Verdana" w:hAnsi="Verdana"/>
          <w:sz w:val="20"/>
          <w:szCs w:val="20"/>
        </w:rPr>
        <w:t xml:space="preserve"> </w:t>
      </w:r>
    </w:p>
    <w:p w14:paraId="3696B5C0" w14:textId="77777777" w:rsidR="00170E55" w:rsidRPr="00F81E98" w:rsidRDefault="00170E55" w:rsidP="006031D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EC75BCB" w14:textId="77777777" w:rsidR="00170E55" w:rsidRPr="00F81E98" w:rsidRDefault="00170E55" w:rsidP="005B054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 xml:space="preserve">Wynagrodzenie wypłacane </w:t>
      </w:r>
      <w:r w:rsidR="00495EFD" w:rsidRPr="00F81E98">
        <w:rPr>
          <w:rFonts w:ascii="Verdana" w:hAnsi="Verdana"/>
          <w:sz w:val="20"/>
          <w:szCs w:val="20"/>
        </w:rPr>
        <w:t>jest</w:t>
      </w:r>
      <w:r w:rsidRPr="00F81E98">
        <w:rPr>
          <w:rFonts w:ascii="Verdana" w:hAnsi="Verdana"/>
          <w:sz w:val="20"/>
          <w:szCs w:val="20"/>
        </w:rPr>
        <w:t xml:space="preserve"> w cyklu miesięcznym, na podstawie doręczonej przez uprawnionego SuperAnimatora faktury, w ciągu 30 dni od dnia jej otrzymania przez Giełdę, na rachunek bankowy SuperAnimatora wskazany na </w:t>
      </w:r>
      <w:r w:rsidR="00495EFD" w:rsidRPr="00F81E98">
        <w:rPr>
          <w:rFonts w:ascii="Verdana" w:hAnsi="Verdana"/>
          <w:sz w:val="20"/>
          <w:szCs w:val="20"/>
        </w:rPr>
        <w:t>tej</w:t>
      </w:r>
      <w:r w:rsidRPr="00F81E98">
        <w:rPr>
          <w:rFonts w:ascii="Verdana" w:hAnsi="Verdana"/>
          <w:sz w:val="20"/>
          <w:szCs w:val="20"/>
        </w:rPr>
        <w:t xml:space="preserve"> fakturze.</w:t>
      </w:r>
    </w:p>
    <w:p w14:paraId="51195ACE" w14:textId="77777777" w:rsidR="00170E55" w:rsidRPr="00F81E98" w:rsidRDefault="00170E55" w:rsidP="006031DE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4BD656E" w14:textId="77777777" w:rsidR="00170E55" w:rsidRPr="00F81E98" w:rsidRDefault="00170E55" w:rsidP="005B054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81E98">
        <w:rPr>
          <w:rFonts w:ascii="Verdana" w:hAnsi="Verdana"/>
          <w:sz w:val="20"/>
          <w:szCs w:val="20"/>
        </w:rPr>
        <w:t>SuperAnimator, wystawiając fakturę na podstawie Regulaminu Programu uwzględnia wartości, o których mowa w p</w:t>
      </w:r>
      <w:r w:rsidR="009F074A" w:rsidRPr="00F81E98">
        <w:rPr>
          <w:rFonts w:ascii="Verdana" w:hAnsi="Verdana"/>
          <w:sz w:val="20"/>
          <w:szCs w:val="20"/>
        </w:rPr>
        <w:t xml:space="preserve">kt </w:t>
      </w:r>
      <w:r w:rsidRPr="00F81E98">
        <w:rPr>
          <w:rFonts w:ascii="Verdana" w:hAnsi="Verdana"/>
          <w:sz w:val="20"/>
          <w:szCs w:val="20"/>
        </w:rPr>
        <w:t xml:space="preserve">4 </w:t>
      </w:r>
      <w:r w:rsidR="00214E21" w:rsidRPr="00F81E98">
        <w:rPr>
          <w:rFonts w:ascii="Verdana" w:hAnsi="Verdana"/>
          <w:sz w:val="20"/>
          <w:szCs w:val="20"/>
        </w:rPr>
        <w:t>powyżej.</w:t>
      </w:r>
    </w:p>
    <w:p w14:paraId="00E90994" w14:textId="77777777" w:rsidR="00170E55" w:rsidRPr="006031DE" w:rsidRDefault="00170E55" w:rsidP="006031DE">
      <w:pPr>
        <w:spacing w:line="360" w:lineRule="auto"/>
        <w:ind w:left="1353"/>
        <w:jc w:val="both"/>
        <w:rPr>
          <w:rFonts w:ascii="Verdana" w:hAnsi="Verdana"/>
          <w:sz w:val="20"/>
          <w:szCs w:val="20"/>
        </w:rPr>
      </w:pPr>
    </w:p>
    <w:p w14:paraId="0721135D" w14:textId="77777777" w:rsidR="00170E55" w:rsidRPr="006031DE" w:rsidRDefault="00170E55" w:rsidP="006031DE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</w:p>
    <w:p w14:paraId="1AF08ACA" w14:textId="77777777" w:rsidR="00663105" w:rsidRPr="006031DE" w:rsidRDefault="00663105" w:rsidP="006031DE">
      <w:pPr>
        <w:spacing w:line="360" w:lineRule="auto"/>
        <w:rPr>
          <w:rFonts w:ascii="Verdana" w:hAnsi="Verdana"/>
          <w:sz w:val="20"/>
          <w:szCs w:val="20"/>
        </w:rPr>
      </w:pPr>
    </w:p>
    <w:sectPr w:rsidR="00663105" w:rsidRPr="006031DE" w:rsidSect="004A4834">
      <w:footerReference w:type="default" r:id="rId9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092C" w14:textId="77777777" w:rsidR="00AE2E5B" w:rsidRDefault="00AE2E5B" w:rsidP="0087317C">
      <w:r>
        <w:separator/>
      </w:r>
    </w:p>
  </w:endnote>
  <w:endnote w:type="continuationSeparator" w:id="0">
    <w:p w14:paraId="4DD9D5C5" w14:textId="77777777" w:rsidR="00AE2E5B" w:rsidRDefault="00AE2E5B" w:rsidP="008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7EE7" w14:textId="77777777" w:rsidR="00A17EF7" w:rsidRPr="00A17EF7" w:rsidRDefault="00A17EF7">
    <w:pPr>
      <w:pStyle w:val="Stopk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- </w:t>
    </w:r>
    <w:r w:rsidRPr="00A17EF7">
      <w:rPr>
        <w:rFonts w:ascii="Verdana" w:hAnsi="Verdana"/>
        <w:sz w:val="18"/>
        <w:szCs w:val="18"/>
      </w:rPr>
      <w:fldChar w:fldCharType="begin"/>
    </w:r>
    <w:r w:rsidRPr="00A17EF7">
      <w:rPr>
        <w:rFonts w:ascii="Verdana" w:hAnsi="Verdana"/>
        <w:sz w:val="18"/>
        <w:szCs w:val="18"/>
      </w:rPr>
      <w:instrText>PAGE   \* MERGEFORMAT</w:instrText>
    </w:r>
    <w:r w:rsidRPr="00A17EF7">
      <w:rPr>
        <w:rFonts w:ascii="Verdana" w:hAnsi="Verdana"/>
        <w:sz w:val="18"/>
        <w:szCs w:val="18"/>
      </w:rPr>
      <w:fldChar w:fldCharType="separate"/>
    </w:r>
    <w:r w:rsidR="00C92AF5">
      <w:rPr>
        <w:rFonts w:ascii="Verdana" w:hAnsi="Verdana"/>
        <w:noProof/>
        <w:sz w:val="18"/>
        <w:szCs w:val="18"/>
      </w:rPr>
      <w:t>5</w:t>
    </w:r>
    <w:r w:rsidRPr="00A17EF7">
      <w:rPr>
        <w:rFonts w:ascii="Verdana" w:hAnsi="Verdana"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- </w:t>
    </w:r>
  </w:p>
  <w:p w14:paraId="46464600" w14:textId="77777777" w:rsidR="00A17EF7" w:rsidRDefault="00A17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8E58" w14:textId="77777777" w:rsidR="00AE2E5B" w:rsidRDefault="00AE2E5B" w:rsidP="0087317C">
      <w:r>
        <w:separator/>
      </w:r>
    </w:p>
  </w:footnote>
  <w:footnote w:type="continuationSeparator" w:id="0">
    <w:p w14:paraId="329EECA5" w14:textId="77777777" w:rsidR="00AE2E5B" w:rsidRDefault="00AE2E5B" w:rsidP="0087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D78"/>
    <w:multiLevelType w:val="hybridMultilevel"/>
    <w:tmpl w:val="2FE27A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469F6"/>
    <w:multiLevelType w:val="hybridMultilevel"/>
    <w:tmpl w:val="70A86EF0"/>
    <w:lvl w:ilvl="0" w:tplc="4B0446B8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8A9938">
      <w:start w:val="1"/>
      <w:numFmt w:val="upperRoman"/>
      <w:lvlText w:val="%4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4A5"/>
    <w:multiLevelType w:val="hybridMultilevel"/>
    <w:tmpl w:val="559E23FA"/>
    <w:lvl w:ilvl="0" w:tplc="B2E45EC0">
      <w:start w:val="1"/>
      <w:numFmt w:val="lowerLetter"/>
      <w:lvlText w:val="%1)"/>
      <w:lvlJc w:val="left"/>
      <w:pPr>
        <w:ind w:left="1267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134D1E5A"/>
    <w:multiLevelType w:val="hybridMultilevel"/>
    <w:tmpl w:val="54B29ADA"/>
    <w:lvl w:ilvl="0" w:tplc="4D0E8E3A">
      <w:start w:val="1"/>
      <w:numFmt w:val="decimal"/>
      <w:lvlText w:val="%1)"/>
      <w:lvlJc w:val="left"/>
      <w:pPr>
        <w:ind w:left="1776" w:hanging="360"/>
      </w:pPr>
      <w:rPr>
        <w:rFonts w:ascii="Verdana" w:eastAsia="Calibri" w:hAnsi="Verdana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641CBD"/>
    <w:multiLevelType w:val="hybridMultilevel"/>
    <w:tmpl w:val="DC206A26"/>
    <w:lvl w:ilvl="0" w:tplc="B7860276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2CA7D2">
      <w:start w:val="1"/>
      <w:numFmt w:val="upperRoman"/>
      <w:lvlText w:val="%4."/>
      <w:lvlJc w:val="right"/>
      <w:pPr>
        <w:tabs>
          <w:tab w:val="num" w:pos="227"/>
        </w:tabs>
        <w:ind w:left="227" w:hanging="227"/>
      </w:pPr>
      <w:rPr>
        <w:rFonts w:hint="default"/>
      </w:rPr>
    </w:lvl>
    <w:lvl w:ilvl="4" w:tplc="8E3627B6">
      <w:start w:val="1"/>
      <w:numFmt w:val="decimal"/>
      <w:lvlText w:val="%5)"/>
      <w:lvlJc w:val="left"/>
      <w:pPr>
        <w:tabs>
          <w:tab w:val="num" w:pos="907"/>
        </w:tabs>
        <w:ind w:left="907" w:hanging="340"/>
      </w:pPr>
      <w:rPr>
        <w:rFonts w:cs="Lucida Sans Unicode" w:hint="default"/>
        <w:b w:val="0"/>
      </w:rPr>
    </w:lvl>
    <w:lvl w:ilvl="5" w:tplc="A470E76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42C2"/>
    <w:multiLevelType w:val="hybridMultilevel"/>
    <w:tmpl w:val="93C221CE"/>
    <w:lvl w:ilvl="0" w:tplc="1270AADE">
      <w:start w:val="1"/>
      <w:numFmt w:val="lowerLetter"/>
      <w:lvlText w:val="%1)"/>
      <w:lvlJc w:val="left"/>
      <w:pPr>
        <w:ind w:left="177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9B6784E"/>
    <w:multiLevelType w:val="multilevel"/>
    <w:tmpl w:val="1C7AE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AEB3639"/>
    <w:multiLevelType w:val="hybridMultilevel"/>
    <w:tmpl w:val="74A8BAB0"/>
    <w:lvl w:ilvl="0" w:tplc="6FD6E5B2">
      <w:start w:val="1"/>
      <w:numFmt w:val="lowerLetter"/>
      <w:lvlText w:val="%1)"/>
      <w:lvlJc w:val="left"/>
      <w:pPr>
        <w:ind w:left="1287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C00FED"/>
    <w:multiLevelType w:val="hybridMultilevel"/>
    <w:tmpl w:val="0A04B17E"/>
    <w:lvl w:ilvl="0" w:tplc="3190CB2C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 w15:restartNumberingAfterBreak="0">
    <w:nsid w:val="3BFD26F8"/>
    <w:multiLevelType w:val="hybridMultilevel"/>
    <w:tmpl w:val="1EA02F7E"/>
    <w:lvl w:ilvl="0" w:tplc="B31A781A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F04325"/>
    <w:multiLevelType w:val="hybridMultilevel"/>
    <w:tmpl w:val="C41E637A"/>
    <w:lvl w:ilvl="0" w:tplc="F14C8FDA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3113C"/>
    <w:multiLevelType w:val="hybridMultilevel"/>
    <w:tmpl w:val="A796CCFE"/>
    <w:lvl w:ilvl="0" w:tplc="B07E4BBA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797AF5"/>
    <w:multiLevelType w:val="hybridMultilevel"/>
    <w:tmpl w:val="0A303708"/>
    <w:lvl w:ilvl="0" w:tplc="E63E6910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3" w15:restartNumberingAfterBreak="0">
    <w:nsid w:val="53EA0242"/>
    <w:multiLevelType w:val="hybridMultilevel"/>
    <w:tmpl w:val="2582764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5CDCEEA2">
      <w:start w:val="1"/>
      <w:numFmt w:val="upperLetter"/>
      <w:lvlText w:val="%5."/>
      <w:lvlJc w:val="left"/>
      <w:pPr>
        <w:ind w:left="424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4EE6416"/>
    <w:multiLevelType w:val="hybridMultilevel"/>
    <w:tmpl w:val="2FE27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6C6D"/>
    <w:multiLevelType w:val="hybridMultilevel"/>
    <w:tmpl w:val="7054AA62"/>
    <w:lvl w:ilvl="0" w:tplc="A8DEEF2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EE470FE"/>
    <w:multiLevelType w:val="hybridMultilevel"/>
    <w:tmpl w:val="74A8BAB0"/>
    <w:lvl w:ilvl="0" w:tplc="6FD6E5B2">
      <w:start w:val="1"/>
      <w:numFmt w:val="lowerLetter"/>
      <w:lvlText w:val="%1)"/>
      <w:lvlJc w:val="left"/>
      <w:pPr>
        <w:ind w:left="1287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63247F"/>
    <w:multiLevelType w:val="hybridMultilevel"/>
    <w:tmpl w:val="7D86E6BA"/>
    <w:lvl w:ilvl="0" w:tplc="224C2768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67" w:hanging="360"/>
      </w:pPr>
    </w:lvl>
    <w:lvl w:ilvl="2" w:tplc="0415001B" w:tentative="1">
      <w:start w:val="1"/>
      <w:numFmt w:val="lowerRoman"/>
      <w:lvlText w:val="%3."/>
      <w:lvlJc w:val="right"/>
      <w:pPr>
        <w:ind w:left="3387" w:hanging="180"/>
      </w:pPr>
    </w:lvl>
    <w:lvl w:ilvl="3" w:tplc="0415000F" w:tentative="1">
      <w:start w:val="1"/>
      <w:numFmt w:val="decimal"/>
      <w:lvlText w:val="%4."/>
      <w:lvlJc w:val="left"/>
      <w:pPr>
        <w:ind w:left="4107" w:hanging="360"/>
      </w:pPr>
    </w:lvl>
    <w:lvl w:ilvl="4" w:tplc="04150019" w:tentative="1">
      <w:start w:val="1"/>
      <w:numFmt w:val="lowerLetter"/>
      <w:lvlText w:val="%5."/>
      <w:lvlJc w:val="left"/>
      <w:pPr>
        <w:ind w:left="4827" w:hanging="360"/>
      </w:pPr>
    </w:lvl>
    <w:lvl w:ilvl="5" w:tplc="0415001B" w:tentative="1">
      <w:start w:val="1"/>
      <w:numFmt w:val="lowerRoman"/>
      <w:lvlText w:val="%6."/>
      <w:lvlJc w:val="right"/>
      <w:pPr>
        <w:ind w:left="5547" w:hanging="180"/>
      </w:pPr>
    </w:lvl>
    <w:lvl w:ilvl="6" w:tplc="0415000F" w:tentative="1">
      <w:start w:val="1"/>
      <w:numFmt w:val="decimal"/>
      <w:lvlText w:val="%7."/>
      <w:lvlJc w:val="left"/>
      <w:pPr>
        <w:ind w:left="6267" w:hanging="360"/>
      </w:pPr>
    </w:lvl>
    <w:lvl w:ilvl="7" w:tplc="04150019" w:tentative="1">
      <w:start w:val="1"/>
      <w:numFmt w:val="lowerLetter"/>
      <w:lvlText w:val="%8."/>
      <w:lvlJc w:val="left"/>
      <w:pPr>
        <w:ind w:left="6987" w:hanging="360"/>
      </w:pPr>
    </w:lvl>
    <w:lvl w:ilvl="8" w:tplc="0415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8" w15:restartNumberingAfterBreak="0">
    <w:nsid w:val="7B5D6149"/>
    <w:multiLevelType w:val="hybridMultilevel"/>
    <w:tmpl w:val="B986EE30"/>
    <w:lvl w:ilvl="0" w:tplc="E7CABD46">
      <w:start w:val="1"/>
      <w:numFmt w:val="lowerLetter"/>
      <w:lvlText w:val="%1)"/>
      <w:lvlJc w:val="left"/>
      <w:pPr>
        <w:ind w:left="1191" w:hanging="34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4897791">
    <w:abstractNumId w:val="4"/>
  </w:num>
  <w:num w:numId="2" w16cid:durableId="1776514146">
    <w:abstractNumId w:val="15"/>
  </w:num>
  <w:num w:numId="3" w16cid:durableId="1488933241">
    <w:abstractNumId w:val="13"/>
  </w:num>
  <w:num w:numId="4" w16cid:durableId="608320335">
    <w:abstractNumId w:val="18"/>
  </w:num>
  <w:num w:numId="5" w16cid:durableId="635645573">
    <w:abstractNumId w:val="3"/>
  </w:num>
  <w:num w:numId="6" w16cid:durableId="1868058782">
    <w:abstractNumId w:val="8"/>
  </w:num>
  <w:num w:numId="7" w16cid:durableId="254704793">
    <w:abstractNumId w:val="10"/>
  </w:num>
  <w:num w:numId="8" w16cid:durableId="1919368362">
    <w:abstractNumId w:val="5"/>
  </w:num>
  <w:num w:numId="9" w16cid:durableId="777454906">
    <w:abstractNumId w:val="1"/>
  </w:num>
  <w:num w:numId="10" w16cid:durableId="1925605393">
    <w:abstractNumId w:val="17"/>
  </w:num>
  <w:num w:numId="11" w16cid:durableId="302279060">
    <w:abstractNumId w:val="14"/>
  </w:num>
  <w:num w:numId="12" w16cid:durableId="288702945">
    <w:abstractNumId w:val="12"/>
  </w:num>
  <w:num w:numId="13" w16cid:durableId="343868930">
    <w:abstractNumId w:val="11"/>
  </w:num>
  <w:num w:numId="14" w16cid:durableId="596980673">
    <w:abstractNumId w:val="2"/>
  </w:num>
  <w:num w:numId="15" w16cid:durableId="544172572">
    <w:abstractNumId w:val="7"/>
  </w:num>
  <w:num w:numId="16" w16cid:durableId="1912933081">
    <w:abstractNumId w:val="16"/>
  </w:num>
  <w:num w:numId="17" w16cid:durableId="77950116">
    <w:abstractNumId w:val="0"/>
  </w:num>
  <w:num w:numId="18" w16cid:durableId="1898322704">
    <w:abstractNumId w:val="6"/>
  </w:num>
  <w:num w:numId="19" w16cid:durableId="540553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55"/>
    <w:rsid w:val="000223E2"/>
    <w:rsid w:val="00022B92"/>
    <w:rsid w:val="00043920"/>
    <w:rsid w:val="00061C6D"/>
    <w:rsid w:val="000656D5"/>
    <w:rsid w:val="00073DA9"/>
    <w:rsid w:val="00075D31"/>
    <w:rsid w:val="00102DF7"/>
    <w:rsid w:val="00114482"/>
    <w:rsid w:val="00135D8C"/>
    <w:rsid w:val="00137D84"/>
    <w:rsid w:val="00153192"/>
    <w:rsid w:val="00154D73"/>
    <w:rsid w:val="00167980"/>
    <w:rsid w:val="00170E55"/>
    <w:rsid w:val="001719EF"/>
    <w:rsid w:val="001A7D4E"/>
    <w:rsid w:val="001D4A8A"/>
    <w:rsid w:val="001E1C8E"/>
    <w:rsid w:val="001E27D5"/>
    <w:rsid w:val="001E7CAB"/>
    <w:rsid w:val="0020520B"/>
    <w:rsid w:val="00214E21"/>
    <w:rsid w:val="0026700B"/>
    <w:rsid w:val="00274950"/>
    <w:rsid w:val="00287E9E"/>
    <w:rsid w:val="003309EB"/>
    <w:rsid w:val="00331F31"/>
    <w:rsid w:val="00335DE9"/>
    <w:rsid w:val="00351ADE"/>
    <w:rsid w:val="003540C7"/>
    <w:rsid w:val="003807F4"/>
    <w:rsid w:val="00387B40"/>
    <w:rsid w:val="003B3C86"/>
    <w:rsid w:val="003B693F"/>
    <w:rsid w:val="003D1AB4"/>
    <w:rsid w:val="003D6A90"/>
    <w:rsid w:val="003E0D44"/>
    <w:rsid w:val="003F0F02"/>
    <w:rsid w:val="00420CAF"/>
    <w:rsid w:val="004225D1"/>
    <w:rsid w:val="00423D07"/>
    <w:rsid w:val="00437FF9"/>
    <w:rsid w:val="00450930"/>
    <w:rsid w:val="004541EC"/>
    <w:rsid w:val="00484ADB"/>
    <w:rsid w:val="00493464"/>
    <w:rsid w:val="0049446B"/>
    <w:rsid w:val="00495EFD"/>
    <w:rsid w:val="00496609"/>
    <w:rsid w:val="004A4834"/>
    <w:rsid w:val="004D6B7A"/>
    <w:rsid w:val="004E6517"/>
    <w:rsid w:val="004F47E3"/>
    <w:rsid w:val="0052487C"/>
    <w:rsid w:val="0057740A"/>
    <w:rsid w:val="00582A71"/>
    <w:rsid w:val="005B0544"/>
    <w:rsid w:val="005D3649"/>
    <w:rsid w:val="005D5AA4"/>
    <w:rsid w:val="005F1E52"/>
    <w:rsid w:val="006031DE"/>
    <w:rsid w:val="00652735"/>
    <w:rsid w:val="00663105"/>
    <w:rsid w:val="00682426"/>
    <w:rsid w:val="006851D3"/>
    <w:rsid w:val="006A6CB9"/>
    <w:rsid w:val="006B43D5"/>
    <w:rsid w:val="006C3460"/>
    <w:rsid w:val="006C364B"/>
    <w:rsid w:val="00703753"/>
    <w:rsid w:val="00707EB5"/>
    <w:rsid w:val="007123A8"/>
    <w:rsid w:val="0071489C"/>
    <w:rsid w:val="007610C8"/>
    <w:rsid w:val="00767893"/>
    <w:rsid w:val="0077792D"/>
    <w:rsid w:val="00786E27"/>
    <w:rsid w:val="007B5C06"/>
    <w:rsid w:val="007F364C"/>
    <w:rsid w:val="008225FB"/>
    <w:rsid w:val="00822E00"/>
    <w:rsid w:val="00823E23"/>
    <w:rsid w:val="00844196"/>
    <w:rsid w:val="0087317C"/>
    <w:rsid w:val="008B7DC3"/>
    <w:rsid w:val="008C1404"/>
    <w:rsid w:val="008C6458"/>
    <w:rsid w:val="008F0700"/>
    <w:rsid w:val="008F4021"/>
    <w:rsid w:val="00911D30"/>
    <w:rsid w:val="00913A07"/>
    <w:rsid w:val="00917288"/>
    <w:rsid w:val="00921F73"/>
    <w:rsid w:val="009249CE"/>
    <w:rsid w:val="00935EE9"/>
    <w:rsid w:val="0096030A"/>
    <w:rsid w:val="00980A8C"/>
    <w:rsid w:val="00992255"/>
    <w:rsid w:val="00995C97"/>
    <w:rsid w:val="009B0AAC"/>
    <w:rsid w:val="009B5476"/>
    <w:rsid w:val="009C22E5"/>
    <w:rsid w:val="009D1277"/>
    <w:rsid w:val="009F074A"/>
    <w:rsid w:val="00A17EF7"/>
    <w:rsid w:val="00A23306"/>
    <w:rsid w:val="00AA5D9B"/>
    <w:rsid w:val="00AB15EB"/>
    <w:rsid w:val="00AE1D6D"/>
    <w:rsid w:val="00AE2E5B"/>
    <w:rsid w:val="00AE4458"/>
    <w:rsid w:val="00B160B6"/>
    <w:rsid w:val="00B24B95"/>
    <w:rsid w:val="00B66611"/>
    <w:rsid w:val="00B6702C"/>
    <w:rsid w:val="00B72698"/>
    <w:rsid w:val="00BB484D"/>
    <w:rsid w:val="00BE0F4B"/>
    <w:rsid w:val="00C004B0"/>
    <w:rsid w:val="00C10888"/>
    <w:rsid w:val="00C165EE"/>
    <w:rsid w:val="00C60F78"/>
    <w:rsid w:val="00C641CC"/>
    <w:rsid w:val="00C7085A"/>
    <w:rsid w:val="00C7683A"/>
    <w:rsid w:val="00C90A1B"/>
    <w:rsid w:val="00C92AF5"/>
    <w:rsid w:val="00C95C55"/>
    <w:rsid w:val="00CB7EF5"/>
    <w:rsid w:val="00CC0FAF"/>
    <w:rsid w:val="00CD492D"/>
    <w:rsid w:val="00CD575B"/>
    <w:rsid w:val="00CE488D"/>
    <w:rsid w:val="00CF647E"/>
    <w:rsid w:val="00D03DCF"/>
    <w:rsid w:val="00D31029"/>
    <w:rsid w:val="00D352FE"/>
    <w:rsid w:val="00D459A6"/>
    <w:rsid w:val="00D50A36"/>
    <w:rsid w:val="00D6517B"/>
    <w:rsid w:val="00D87FB7"/>
    <w:rsid w:val="00D916CF"/>
    <w:rsid w:val="00DB3734"/>
    <w:rsid w:val="00DD41E3"/>
    <w:rsid w:val="00DE7BBB"/>
    <w:rsid w:val="00E31F18"/>
    <w:rsid w:val="00E46388"/>
    <w:rsid w:val="00E755EA"/>
    <w:rsid w:val="00E97C22"/>
    <w:rsid w:val="00EC35E3"/>
    <w:rsid w:val="00EE7607"/>
    <w:rsid w:val="00EF2194"/>
    <w:rsid w:val="00EF5354"/>
    <w:rsid w:val="00EF7901"/>
    <w:rsid w:val="00F01662"/>
    <w:rsid w:val="00F01DB3"/>
    <w:rsid w:val="00F241CD"/>
    <w:rsid w:val="00F53352"/>
    <w:rsid w:val="00F53C7E"/>
    <w:rsid w:val="00F62D9A"/>
    <w:rsid w:val="00F63FE7"/>
    <w:rsid w:val="00F81E98"/>
    <w:rsid w:val="00F90D54"/>
    <w:rsid w:val="00F93015"/>
    <w:rsid w:val="00F94A32"/>
    <w:rsid w:val="00FA7FAF"/>
    <w:rsid w:val="00FB500D"/>
    <w:rsid w:val="00FC79A4"/>
    <w:rsid w:val="00FD119E"/>
    <w:rsid w:val="00FD7157"/>
    <w:rsid w:val="00FE6379"/>
    <w:rsid w:val="00FE673E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2EA2DF"/>
  <w15:chartTrackingRefBased/>
  <w15:docId w15:val="{5DD0B9D9-BA1E-454A-87AC-69CC4ED5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55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70E55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7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E5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70E55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70E5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170E5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17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7317C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87317C"/>
    <w:rPr>
      <w:vertAlign w:val="superscript"/>
    </w:rPr>
  </w:style>
  <w:style w:type="paragraph" w:customStyle="1" w:styleId="Default">
    <w:name w:val="Default"/>
    <w:rsid w:val="00287E9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88D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CE488D"/>
    <w:rPr>
      <w:rFonts w:ascii="Arial" w:eastAsia="Times New Roman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488D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488D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7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7EF7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7E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7EF7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@gp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7F18D58D-9DAF-4E67-9868-16CB6B7376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mailto:members@gpw.pl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Kędziora Roman</dc:creator>
  <cp:keywords>#Kategoria: [Wewnętrzne/Nie zawiera danych osobowych]# </cp:keywords>
  <dc:description/>
  <cp:lastModifiedBy>Kędziora Roman</cp:lastModifiedBy>
  <cp:revision>5</cp:revision>
  <cp:lastPrinted>2018-01-02T12:36:00Z</cp:lastPrinted>
  <dcterms:created xsi:type="dcterms:W3CDTF">2025-09-29T12:43:00Z</dcterms:created>
  <dcterms:modified xsi:type="dcterms:W3CDTF">2026-04-30T13:01:00Z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04f4e56d-9bb8-4c55-b69a-c02dad38d4d2</vt:lpwstr>
  </property>
  <property fmtid="{D5CDD505-2E9C-101B-9397-08002B2CF9AE}" pid="3" name="bjSaver">
    <vt:lpwstr>hWFw/nYdg5+QdAggfUi84MkcEkRrrmgT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