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D59" w:rsidRDefault="00DA2D59" w:rsidP="00DE7F71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E36FBF" w:rsidRDefault="00E36FBF" w:rsidP="00DE7F71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DE7F71" w:rsidRPr="007A3FDC" w:rsidRDefault="00841D96" w:rsidP="00DE7F71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 xml:space="preserve">Uchwała Nr </w:t>
      </w:r>
      <w:r w:rsidR="00625668">
        <w:rPr>
          <w:rFonts w:ascii="Verdana" w:hAnsi="Verdana" w:cs="Arial"/>
          <w:sz w:val="20"/>
          <w:szCs w:val="20"/>
        </w:rPr>
        <w:t>115</w:t>
      </w:r>
      <w:r w:rsidR="00176BC2" w:rsidRPr="007A3FDC">
        <w:rPr>
          <w:rFonts w:ascii="Verdana" w:hAnsi="Verdana" w:cs="Arial"/>
          <w:sz w:val="20"/>
          <w:szCs w:val="20"/>
        </w:rPr>
        <w:t>/</w:t>
      </w:r>
      <w:r w:rsidR="00DE7F71" w:rsidRPr="007A3FDC">
        <w:rPr>
          <w:rFonts w:ascii="Verdana" w:hAnsi="Verdana" w:cs="Arial"/>
          <w:sz w:val="20"/>
          <w:szCs w:val="20"/>
        </w:rPr>
        <w:t>201</w:t>
      </w:r>
      <w:r w:rsidR="00FE321A" w:rsidRPr="007A3FDC">
        <w:rPr>
          <w:rFonts w:ascii="Verdana" w:hAnsi="Verdana" w:cs="Arial"/>
          <w:sz w:val="20"/>
          <w:szCs w:val="20"/>
        </w:rPr>
        <w:t>9</w:t>
      </w:r>
    </w:p>
    <w:p w:rsidR="00DE7F71" w:rsidRPr="007A3FDC" w:rsidRDefault="00DE7F71" w:rsidP="00DE7F71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>Zarządu Giełdy Papierów Wartościowych w Warszawie S.A.</w:t>
      </w:r>
    </w:p>
    <w:p w:rsidR="00DE7F71" w:rsidRPr="007A3FDC" w:rsidRDefault="00DE7F71" w:rsidP="00042AEB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>z dnia</w:t>
      </w:r>
      <w:r w:rsidR="006B1D07" w:rsidRPr="007A3FDC">
        <w:rPr>
          <w:rFonts w:ascii="Verdana" w:hAnsi="Verdana" w:cs="Arial"/>
          <w:sz w:val="20"/>
          <w:szCs w:val="20"/>
        </w:rPr>
        <w:t xml:space="preserve"> </w:t>
      </w:r>
      <w:r w:rsidR="00625668">
        <w:rPr>
          <w:rFonts w:ascii="Verdana" w:hAnsi="Verdana" w:cs="Arial"/>
          <w:sz w:val="20"/>
          <w:szCs w:val="20"/>
        </w:rPr>
        <w:t>26</w:t>
      </w:r>
      <w:bookmarkStart w:id="0" w:name="_GoBack"/>
      <w:bookmarkEnd w:id="0"/>
      <w:r w:rsidR="00B30CE8" w:rsidRPr="007A3FDC">
        <w:rPr>
          <w:rFonts w:ascii="Verdana" w:hAnsi="Verdana" w:cs="Arial"/>
          <w:sz w:val="20"/>
          <w:szCs w:val="20"/>
        </w:rPr>
        <w:t xml:space="preserve"> </w:t>
      </w:r>
      <w:r w:rsidR="00FE321A" w:rsidRPr="007A3FDC">
        <w:rPr>
          <w:rFonts w:ascii="Verdana" w:hAnsi="Verdana" w:cs="Arial"/>
          <w:sz w:val="20"/>
          <w:szCs w:val="20"/>
        </w:rPr>
        <w:t>lutego</w:t>
      </w:r>
      <w:r w:rsidR="00F2102D" w:rsidRPr="007A3FDC">
        <w:rPr>
          <w:rFonts w:ascii="Verdana" w:hAnsi="Verdana" w:cs="Arial"/>
          <w:sz w:val="20"/>
          <w:szCs w:val="20"/>
        </w:rPr>
        <w:t xml:space="preserve"> </w:t>
      </w:r>
      <w:r w:rsidR="003F7EE9" w:rsidRPr="007A3FDC">
        <w:rPr>
          <w:rFonts w:ascii="Verdana" w:hAnsi="Verdana" w:cs="Arial"/>
          <w:sz w:val="20"/>
          <w:szCs w:val="20"/>
        </w:rPr>
        <w:t>201</w:t>
      </w:r>
      <w:r w:rsidR="00FE321A" w:rsidRPr="007A3FDC">
        <w:rPr>
          <w:rFonts w:ascii="Verdana" w:hAnsi="Verdana" w:cs="Arial"/>
          <w:sz w:val="20"/>
          <w:szCs w:val="20"/>
        </w:rPr>
        <w:t>9</w:t>
      </w:r>
      <w:r w:rsidRPr="007A3FDC">
        <w:rPr>
          <w:rFonts w:ascii="Verdana" w:hAnsi="Verdana" w:cs="Arial"/>
          <w:sz w:val="20"/>
          <w:szCs w:val="20"/>
        </w:rPr>
        <w:t xml:space="preserve"> r.</w:t>
      </w:r>
    </w:p>
    <w:p w:rsidR="002B4862" w:rsidRPr="007A3FDC" w:rsidRDefault="002B4862" w:rsidP="00945F3D">
      <w:pPr>
        <w:spacing w:after="360" w:line="360" w:lineRule="auto"/>
        <w:jc w:val="center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 xml:space="preserve">w sprawie zmiany Uchwały Nr 42/2007 Zarządu Giełdy </w:t>
      </w:r>
      <w:r w:rsidR="00F22F08" w:rsidRPr="007A3FDC">
        <w:rPr>
          <w:rFonts w:ascii="Verdana" w:hAnsi="Verdana" w:cs="Arial"/>
          <w:sz w:val="20"/>
          <w:szCs w:val="20"/>
        </w:rPr>
        <w:br/>
      </w:r>
      <w:r w:rsidRPr="007A3FDC">
        <w:rPr>
          <w:rFonts w:ascii="Verdana" w:hAnsi="Verdana" w:cs="Arial"/>
          <w:sz w:val="20"/>
          <w:szCs w:val="20"/>
        </w:rPr>
        <w:t>z dnia 16 stycznia 2007 r. (z </w:t>
      </w:r>
      <w:proofErr w:type="spellStart"/>
      <w:r w:rsidRPr="007A3FDC">
        <w:rPr>
          <w:rFonts w:ascii="Verdana" w:hAnsi="Verdana" w:cs="Arial"/>
          <w:sz w:val="20"/>
          <w:szCs w:val="20"/>
        </w:rPr>
        <w:t>późn</w:t>
      </w:r>
      <w:proofErr w:type="spellEnd"/>
      <w:r w:rsidRPr="007A3FDC">
        <w:rPr>
          <w:rFonts w:ascii="Verdana" w:hAnsi="Verdana" w:cs="Arial"/>
          <w:sz w:val="20"/>
          <w:szCs w:val="20"/>
        </w:rPr>
        <w:t>. zm.)</w:t>
      </w:r>
    </w:p>
    <w:p w:rsidR="00F2102D" w:rsidRPr="007A3FDC" w:rsidRDefault="00F2102D" w:rsidP="00380811">
      <w:pPr>
        <w:spacing w:after="120" w:line="360" w:lineRule="auto"/>
        <w:ind w:hanging="142"/>
        <w:jc w:val="both"/>
        <w:rPr>
          <w:rFonts w:ascii="Verdana" w:hAnsi="Verdana" w:cs="Arial"/>
          <w:sz w:val="20"/>
          <w:szCs w:val="20"/>
        </w:rPr>
      </w:pPr>
    </w:p>
    <w:p w:rsidR="00380811" w:rsidRPr="007A3FDC" w:rsidRDefault="00F2102D" w:rsidP="001A631E">
      <w:pPr>
        <w:spacing w:after="240" w:line="360" w:lineRule="auto"/>
        <w:ind w:hanging="142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>Na podstawie § 20 ust. 5</w:t>
      </w:r>
      <w:r w:rsidR="00380811" w:rsidRPr="007A3FDC">
        <w:rPr>
          <w:rFonts w:ascii="Verdana" w:hAnsi="Verdana" w:cs="Arial"/>
          <w:sz w:val="20"/>
          <w:szCs w:val="20"/>
        </w:rPr>
        <w:t xml:space="preserve"> Statutu Giełdy, Zarząd Giełdy postanawia co następuje:</w:t>
      </w:r>
    </w:p>
    <w:p w:rsidR="004A63B1" w:rsidRPr="007A3FDC" w:rsidRDefault="004A63B1" w:rsidP="004A63B1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>§ 1</w:t>
      </w:r>
    </w:p>
    <w:p w:rsidR="00AD3A3E" w:rsidRPr="007A3FDC" w:rsidRDefault="002B4862" w:rsidP="00AD3A3E">
      <w:pPr>
        <w:tabs>
          <w:tab w:val="left" w:pos="426"/>
        </w:tabs>
        <w:spacing w:after="240" w:line="360" w:lineRule="auto"/>
        <w:ind w:left="-142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>W Załączniku do Uchwały Nr 42/2007 Zarządu Giełdy</w:t>
      </w:r>
      <w:r w:rsidR="00275765" w:rsidRPr="007A3FDC">
        <w:rPr>
          <w:rFonts w:ascii="Verdana" w:hAnsi="Verdana" w:cs="Arial"/>
          <w:sz w:val="20"/>
          <w:szCs w:val="20"/>
        </w:rPr>
        <w:t xml:space="preserve"> Papierów Wartościowych </w:t>
      </w:r>
      <w:r w:rsidR="00275765" w:rsidRPr="007A3FDC">
        <w:rPr>
          <w:rFonts w:ascii="Verdana" w:hAnsi="Verdana" w:cs="Arial"/>
          <w:sz w:val="20"/>
          <w:szCs w:val="20"/>
        </w:rPr>
        <w:br/>
        <w:t>w Warszawie S.A.</w:t>
      </w:r>
      <w:r w:rsidRPr="007A3FDC">
        <w:rPr>
          <w:rFonts w:ascii="Verdana" w:hAnsi="Verdana" w:cs="Arial"/>
          <w:sz w:val="20"/>
          <w:szCs w:val="20"/>
        </w:rPr>
        <w:t xml:space="preserve"> z dnia 16 stycznia 2007 r. (z </w:t>
      </w:r>
      <w:proofErr w:type="spellStart"/>
      <w:r w:rsidRPr="007A3FDC">
        <w:rPr>
          <w:rFonts w:ascii="Verdana" w:hAnsi="Verdana" w:cs="Arial"/>
          <w:sz w:val="20"/>
          <w:szCs w:val="20"/>
        </w:rPr>
        <w:t>późn</w:t>
      </w:r>
      <w:proofErr w:type="spellEnd"/>
      <w:r w:rsidRPr="007A3FDC">
        <w:rPr>
          <w:rFonts w:ascii="Verdana" w:hAnsi="Verdana" w:cs="Arial"/>
          <w:sz w:val="20"/>
          <w:szCs w:val="20"/>
        </w:rPr>
        <w:t xml:space="preserve">. zm.) </w:t>
      </w:r>
      <w:r w:rsidR="00F2102D" w:rsidRPr="007A3FDC">
        <w:rPr>
          <w:rFonts w:ascii="Verdana" w:hAnsi="Verdana" w:cs="Arial"/>
          <w:sz w:val="20"/>
          <w:szCs w:val="20"/>
        </w:rPr>
        <w:t xml:space="preserve">„Szczegółowe zasady konstrukcji </w:t>
      </w:r>
      <w:r w:rsidRPr="007A3FDC">
        <w:rPr>
          <w:rFonts w:ascii="Verdana" w:hAnsi="Verdana" w:cs="Arial"/>
          <w:sz w:val="20"/>
          <w:szCs w:val="20"/>
        </w:rPr>
        <w:t>i</w:t>
      </w:r>
      <w:r w:rsidR="00F2102D" w:rsidRPr="007A3FDC">
        <w:rPr>
          <w:rFonts w:ascii="Verdana" w:hAnsi="Verdana" w:cs="Arial"/>
          <w:sz w:val="20"/>
          <w:szCs w:val="20"/>
        </w:rPr>
        <w:t xml:space="preserve"> </w:t>
      </w:r>
      <w:r w:rsidRPr="007A3FDC">
        <w:rPr>
          <w:rFonts w:ascii="Verdana" w:hAnsi="Verdana" w:cs="Arial"/>
          <w:sz w:val="20"/>
          <w:szCs w:val="20"/>
        </w:rPr>
        <w:t>podawania do publicznej wiadomości indeksów i </w:t>
      </w:r>
      <w:proofErr w:type="spellStart"/>
      <w:r w:rsidRPr="007A3FDC">
        <w:rPr>
          <w:rFonts w:ascii="Verdana" w:hAnsi="Verdana" w:cs="Arial"/>
          <w:sz w:val="20"/>
          <w:szCs w:val="20"/>
        </w:rPr>
        <w:t>subindeksów</w:t>
      </w:r>
      <w:proofErr w:type="spellEnd"/>
      <w:r w:rsidRPr="007A3FDC">
        <w:rPr>
          <w:rFonts w:ascii="Verdana" w:hAnsi="Verdana" w:cs="Arial"/>
          <w:sz w:val="20"/>
          <w:szCs w:val="20"/>
        </w:rPr>
        <w:t xml:space="preserve"> giełdowych”, </w:t>
      </w:r>
      <w:r w:rsidR="00885911" w:rsidRPr="007A3FDC">
        <w:rPr>
          <w:rFonts w:ascii="Verdana" w:hAnsi="Verdana" w:cs="Arial"/>
          <w:sz w:val="20"/>
          <w:szCs w:val="20"/>
        </w:rPr>
        <w:t>wprowadza się następujące zmiany:</w:t>
      </w:r>
    </w:p>
    <w:p w:rsidR="00F91E46" w:rsidRPr="007A3FDC" w:rsidRDefault="00F91E46" w:rsidP="00AD3A3E">
      <w:pPr>
        <w:pStyle w:val="Akapitzlist"/>
        <w:numPr>
          <w:ilvl w:val="0"/>
          <w:numId w:val="42"/>
        </w:numPr>
        <w:tabs>
          <w:tab w:val="left" w:pos="426"/>
        </w:tabs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>w § 5 ust. 3 otrzymuje brzmienie:</w:t>
      </w:r>
    </w:p>
    <w:p w:rsidR="00F91E46" w:rsidRPr="007A3FDC" w:rsidRDefault="00F91E46" w:rsidP="00F91E46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362"/>
          <w:tab w:val="left" w:pos="9000"/>
        </w:tabs>
        <w:spacing w:after="120" w:line="360" w:lineRule="auto"/>
        <w:ind w:left="284" w:right="142"/>
        <w:jc w:val="both"/>
        <w:rPr>
          <w:rFonts w:ascii="Verdana" w:hAnsi="Verdana" w:cs="Arial"/>
          <w:color w:val="auto"/>
          <w:sz w:val="20"/>
          <w:lang w:val="pl-PL"/>
        </w:rPr>
      </w:pPr>
      <w:r w:rsidRPr="00625668">
        <w:rPr>
          <w:rFonts w:ascii="Verdana" w:hAnsi="Verdana" w:cs="Arial"/>
          <w:sz w:val="20"/>
          <w:lang w:val="pl-PL"/>
        </w:rPr>
        <w:t xml:space="preserve">„3. </w:t>
      </w:r>
      <w:r w:rsidRPr="007A3FDC">
        <w:rPr>
          <w:rFonts w:ascii="Verdana" w:hAnsi="Verdana" w:cs="Arial"/>
          <w:color w:val="auto"/>
          <w:sz w:val="20"/>
          <w:lang w:val="pl-PL"/>
        </w:rPr>
        <w:t xml:space="preserve">Po ogłoszeniu wartości otwarcia, kolejne wartości indeksów obliczanych </w:t>
      </w:r>
      <w:r w:rsidR="00AD3A3E" w:rsidRPr="007A3FDC">
        <w:rPr>
          <w:rFonts w:ascii="Verdana" w:hAnsi="Verdana" w:cs="Arial"/>
          <w:color w:val="auto"/>
          <w:sz w:val="20"/>
          <w:lang w:val="pl-PL"/>
        </w:rPr>
        <w:br/>
      </w:r>
      <w:r w:rsidRPr="007A3FDC">
        <w:rPr>
          <w:rFonts w:ascii="Verdana" w:hAnsi="Verdana" w:cs="Arial"/>
          <w:color w:val="auto"/>
          <w:sz w:val="20"/>
          <w:lang w:val="pl-PL"/>
        </w:rPr>
        <w:t>w trybie ciągłym podawane są do publicznej wiadomości zgodnie z poniższym harmonogramem: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60"/>
        <w:gridCol w:w="4961"/>
      </w:tblGrid>
      <w:tr w:rsidR="00F91E46" w:rsidRPr="007A3FDC" w:rsidTr="00AD3A3E">
        <w:trPr>
          <w:trHeight w:val="1015"/>
        </w:trPr>
        <w:tc>
          <w:tcPr>
            <w:tcW w:w="3260" w:type="dxa"/>
          </w:tcPr>
          <w:p w:rsidR="00F91E46" w:rsidRPr="007A3FDC" w:rsidRDefault="00F91E46" w:rsidP="00F91E4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A3FDC">
              <w:rPr>
                <w:rFonts w:ascii="Verdana" w:hAnsi="Verdana" w:cs="Arial"/>
                <w:sz w:val="20"/>
                <w:szCs w:val="20"/>
                <w:lang w:val="en-US"/>
              </w:rPr>
              <w:t xml:space="preserve">WIG20, mWIG40, </w:t>
            </w:r>
          </w:p>
          <w:p w:rsidR="00F91E46" w:rsidRPr="007A3FDC" w:rsidRDefault="00F91E46" w:rsidP="00AD3A3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A3FDC">
              <w:rPr>
                <w:rFonts w:ascii="Verdana" w:hAnsi="Verdana" w:cs="Arial"/>
                <w:sz w:val="20"/>
                <w:szCs w:val="20"/>
                <w:lang w:val="en-US"/>
              </w:rPr>
              <w:t>WIG.MS-BAS, WIG.MS-FIN, WIG.GAMES, WIG.MS-PET</w:t>
            </w:r>
          </w:p>
        </w:tc>
        <w:tc>
          <w:tcPr>
            <w:tcW w:w="4961" w:type="dxa"/>
          </w:tcPr>
          <w:p w:rsidR="00F91E46" w:rsidRPr="007A3FDC" w:rsidRDefault="00F91E46" w:rsidP="00F91E4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3FDC">
              <w:rPr>
                <w:rFonts w:ascii="Verdana" w:hAnsi="Verdana" w:cs="Arial"/>
                <w:sz w:val="20"/>
                <w:szCs w:val="20"/>
              </w:rPr>
              <w:t>Co 15 sekund</w:t>
            </w:r>
          </w:p>
        </w:tc>
      </w:tr>
      <w:tr w:rsidR="00F91E46" w:rsidRPr="007A3FDC" w:rsidTr="00AD3A3E">
        <w:tc>
          <w:tcPr>
            <w:tcW w:w="3260" w:type="dxa"/>
          </w:tcPr>
          <w:p w:rsidR="00F91E46" w:rsidRPr="007A3FDC" w:rsidRDefault="00F91E46" w:rsidP="00F91E4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3FDC">
              <w:rPr>
                <w:rFonts w:ascii="Verdana" w:hAnsi="Verdana" w:cs="Arial"/>
                <w:sz w:val="20"/>
                <w:szCs w:val="20"/>
              </w:rPr>
              <w:t xml:space="preserve">sWIG80, WIG30, </w:t>
            </w:r>
          </w:p>
          <w:p w:rsidR="00F91E46" w:rsidRPr="007A3FDC" w:rsidRDefault="00F91E46" w:rsidP="00F91E4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3FDC">
              <w:rPr>
                <w:rFonts w:ascii="Verdana" w:hAnsi="Verdana" w:cs="Arial"/>
                <w:sz w:val="20"/>
                <w:szCs w:val="20"/>
              </w:rPr>
              <w:t xml:space="preserve">WIG, </w:t>
            </w:r>
            <w:proofErr w:type="spellStart"/>
            <w:r w:rsidRPr="007A3FDC">
              <w:rPr>
                <w:rFonts w:ascii="Verdana" w:hAnsi="Verdana" w:cs="Arial"/>
                <w:sz w:val="20"/>
                <w:szCs w:val="20"/>
              </w:rPr>
              <w:t>WIGdiv</w:t>
            </w:r>
            <w:proofErr w:type="spellEnd"/>
            <w:r w:rsidRPr="007A3FDC">
              <w:rPr>
                <w:rFonts w:ascii="Verdana" w:hAnsi="Verdana" w:cs="Arial"/>
                <w:sz w:val="20"/>
                <w:szCs w:val="20"/>
              </w:rPr>
              <w:t>,</w:t>
            </w:r>
          </w:p>
          <w:p w:rsidR="00F91E46" w:rsidRPr="007A3FDC" w:rsidRDefault="00F91E46" w:rsidP="00F91E4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A3FDC">
              <w:rPr>
                <w:rFonts w:ascii="Verdana" w:hAnsi="Verdana" w:cs="Arial"/>
                <w:sz w:val="20"/>
                <w:szCs w:val="20"/>
              </w:rPr>
              <w:t>subindeksy</w:t>
            </w:r>
            <w:proofErr w:type="spellEnd"/>
            <w:r w:rsidRPr="007A3FDC">
              <w:rPr>
                <w:rFonts w:ascii="Verdana" w:hAnsi="Verdana" w:cs="Arial"/>
                <w:sz w:val="20"/>
                <w:szCs w:val="20"/>
              </w:rPr>
              <w:t xml:space="preserve"> sektorowe WIG</w:t>
            </w:r>
          </w:p>
        </w:tc>
        <w:tc>
          <w:tcPr>
            <w:tcW w:w="4961" w:type="dxa"/>
          </w:tcPr>
          <w:p w:rsidR="00F91E46" w:rsidRPr="007A3FDC" w:rsidRDefault="00F91E46" w:rsidP="00F91E4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3FDC">
              <w:rPr>
                <w:rFonts w:ascii="Verdana" w:hAnsi="Verdana" w:cs="Arial"/>
                <w:sz w:val="20"/>
                <w:szCs w:val="20"/>
              </w:rPr>
              <w:t>Co 60 sekund</w:t>
            </w:r>
          </w:p>
        </w:tc>
      </w:tr>
      <w:tr w:rsidR="00F91E46" w:rsidRPr="007A3FDC" w:rsidTr="00AD3A3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46" w:rsidRPr="007A3FDC" w:rsidDel="00F2102D" w:rsidRDefault="00F91E46" w:rsidP="00F91E4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7A3FDC">
              <w:rPr>
                <w:rFonts w:ascii="Verdana" w:hAnsi="Verdana" w:cs="Arial"/>
                <w:sz w:val="20"/>
                <w:szCs w:val="20"/>
                <w:lang w:val="en-GB"/>
              </w:rPr>
              <w:t>WIG20TR, mWIG40TR, sWIG80TR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46" w:rsidRPr="007A3FDC" w:rsidRDefault="00F91E46" w:rsidP="00F91E4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3FDC">
              <w:rPr>
                <w:rFonts w:ascii="Verdana" w:hAnsi="Verdana" w:cs="Arial"/>
                <w:sz w:val="20"/>
                <w:szCs w:val="20"/>
              </w:rPr>
              <w:t>Co 5 minut</w:t>
            </w:r>
          </w:p>
        </w:tc>
      </w:tr>
    </w:tbl>
    <w:p w:rsidR="00F91E46" w:rsidRPr="007A3FDC" w:rsidRDefault="00F91E46" w:rsidP="00AD3A3E">
      <w:p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</w:p>
    <w:p w:rsidR="00F91E46" w:rsidRPr="007A3FDC" w:rsidRDefault="00FE3EE1" w:rsidP="00AD3A3E">
      <w:pPr>
        <w:pStyle w:val="Akapitzlist"/>
        <w:numPr>
          <w:ilvl w:val="0"/>
          <w:numId w:val="42"/>
        </w:numPr>
        <w:spacing w:after="120" w:line="36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>w § 8</w:t>
      </w:r>
      <w:r w:rsidR="00B30CE8" w:rsidRPr="007A3FDC">
        <w:rPr>
          <w:rFonts w:ascii="Verdana" w:hAnsi="Verdana" w:cs="Arial"/>
          <w:sz w:val="20"/>
          <w:szCs w:val="20"/>
        </w:rPr>
        <w:t xml:space="preserve"> ust. 2</w:t>
      </w:r>
      <w:r w:rsidR="00F2102D" w:rsidRPr="007A3FDC">
        <w:rPr>
          <w:rFonts w:ascii="Verdana" w:hAnsi="Verdana" w:cs="Arial"/>
          <w:sz w:val="20"/>
          <w:szCs w:val="20"/>
        </w:rPr>
        <w:t xml:space="preserve"> otrzymuje brzmienie:</w:t>
      </w:r>
    </w:p>
    <w:p w:rsidR="00F91E46" w:rsidRPr="007A3FDC" w:rsidRDefault="00F91E46" w:rsidP="00F91E46">
      <w:pPr>
        <w:pStyle w:val="Akapitzlist"/>
        <w:spacing w:after="120" w:line="360" w:lineRule="auto"/>
        <w:ind w:left="284"/>
        <w:contextualSpacing w:val="0"/>
        <w:jc w:val="both"/>
        <w:rPr>
          <w:rFonts w:ascii="Verdana" w:eastAsia="Calibri" w:hAnsi="Verdana" w:cs="Arial"/>
          <w:sz w:val="20"/>
          <w:szCs w:val="22"/>
          <w:lang w:eastAsia="en-US"/>
        </w:rPr>
      </w:pPr>
      <w:r w:rsidRPr="007A3FDC">
        <w:rPr>
          <w:rFonts w:ascii="Verdana" w:eastAsia="Calibri" w:hAnsi="Verdana" w:cs="Arial"/>
          <w:sz w:val="20"/>
          <w:szCs w:val="22"/>
          <w:lang w:eastAsia="en-US"/>
        </w:rPr>
        <w:t>„2. Informacje o zmianach w indeksach podawane są do publicznej wiadomości zgodnie z poniższym harmonogramem:</w:t>
      </w:r>
    </w:p>
    <w:p w:rsidR="00F91E46" w:rsidRPr="007A3FDC" w:rsidRDefault="00F91E46" w:rsidP="00F91E46">
      <w:pPr>
        <w:pStyle w:val="Akapitzlist"/>
        <w:spacing w:after="120" w:line="360" w:lineRule="auto"/>
        <w:ind w:left="142"/>
        <w:contextualSpacing w:val="0"/>
        <w:jc w:val="both"/>
        <w:rPr>
          <w:rFonts w:ascii="Verdana" w:hAnsi="Verdana" w:cs="Arial"/>
          <w:sz w:val="20"/>
          <w:szCs w:val="20"/>
        </w:rPr>
      </w:pPr>
    </w:p>
    <w:tbl>
      <w:tblPr>
        <w:tblW w:w="8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4"/>
        <w:gridCol w:w="3260"/>
        <w:gridCol w:w="2835"/>
      </w:tblGrid>
      <w:tr w:rsidR="00F91E46" w:rsidRPr="007A3FDC" w:rsidTr="007232A9">
        <w:trPr>
          <w:jc w:val="center"/>
        </w:trPr>
        <w:tc>
          <w:tcPr>
            <w:tcW w:w="2164" w:type="dxa"/>
            <w:vAlign w:val="center"/>
          </w:tcPr>
          <w:p w:rsidR="00F91E46" w:rsidRPr="007A3FDC" w:rsidRDefault="00F91E46" w:rsidP="00F91E4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3FDC">
              <w:rPr>
                <w:rFonts w:ascii="Verdana" w:hAnsi="Verdana" w:cs="Arial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260" w:type="dxa"/>
            <w:vAlign w:val="center"/>
          </w:tcPr>
          <w:p w:rsidR="00F91E46" w:rsidRPr="007A3FDC" w:rsidRDefault="00F91E46" w:rsidP="00F91E4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3FDC">
              <w:rPr>
                <w:rFonts w:ascii="Verdana" w:hAnsi="Verdana" w:cs="Arial"/>
                <w:sz w:val="20"/>
                <w:szCs w:val="20"/>
              </w:rPr>
              <w:t>Rewizje i korekty kwartalne</w:t>
            </w:r>
          </w:p>
        </w:tc>
        <w:tc>
          <w:tcPr>
            <w:tcW w:w="2835" w:type="dxa"/>
            <w:vAlign w:val="center"/>
          </w:tcPr>
          <w:p w:rsidR="00F91E46" w:rsidRPr="007A3FDC" w:rsidRDefault="00F91E46" w:rsidP="00F91E4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3FDC">
              <w:rPr>
                <w:rFonts w:ascii="Verdana" w:hAnsi="Verdana" w:cs="Arial"/>
                <w:sz w:val="20"/>
                <w:szCs w:val="20"/>
              </w:rPr>
              <w:t>Korekty nadzwyczajne</w:t>
            </w:r>
          </w:p>
        </w:tc>
      </w:tr>
      <w:tr w:rsidR="00F91E46" w:rsidRPr="007A3FDC" w:rsidTr="007232A9">
        <w:trPr>
          <w:jc w:val="center"/>
        </w:trPr>
        <w:tc>
          <w:tcPr>
            <w:tcW w:w="2164" w:type="dxa"/>
            <w:vAlign w:val="center"/>
          </w:tcPr>
          <w:p w:rsidR="00F91E46" w:rsidRPr="007A3FDC" w:rsidRDefault="00F91E46" w:rsidP="007232A9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3FDC">
              <w:rPr>
                <w:rFonts w:ascii="Verdana" w:hAnsi="Verdana" w:cs="Arial"/>
                <w:sz w:val="20"/>
                <w:szCs w:val="20"/>
              </w:rPr>
              <w:t>WIG20, WIG20TR</w:t>
            </w:r>
            <w:r w:rsidRPr="007A3FDC">
              <w:rPr>
                <w:sz w:val="16"/>
                <w:szCs w:val="16"/>
              </w:rPr>
              <w:t xml:space="preserve">, </w:t>
            </w:r>
            <w:r w:rsidRPr="007A3FDC">
              <w:rPr>
                <w:rFonts w:ascii="Verdana" w:hAnsi="Verdana" w:cs="Arial"/>
                <w:sz w:val="20"/>
                <w:szCs w:val="20"/>
              </w:rPr>
              <w:t xml:space="preserve">mWIG40, mWIG40TR, sWIG80, sWIG80TR, WIG30, WIG30TR </w:t>
            </w:r>
          </w:p>
        </w:tc>
        <w:tc>
          <w:tcPr>
            <w:tcW w:w="3260" w:type="dxa"/>
            <w:vAlign w:val="center"/>
          </w:tcPr>
          <w:p w:rsidR="00F91E46" w:rsidRPr="007A3FDC" w:rsidRDefault="00F91E46" w:rsidP="00F91E4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3FDC">
              <w:rPr>
                <w:rFonts w:ascii="Verdana" w:hAnsi="Verdana" w:cs="Arial"/>
                <w:sz w:val="20"/>
                <w:szCs w:val="20"/>
              </w:rPr>
              <w:t>Co najmniej 2 tygodnie przed ich przeprowadzeniem</w:t>
            </w:r>
          </w:p>
        </w:tc>
        <w:tc>
          <w:tcPr>
            <w:tcW w:w="2835" w:type="dxa"/>
            <w:vAlign w:val="center"/>
          </w:tcPr>
          <w:p w:rsidR="00F91E46" w:rsidRPr="007A3FDC" w:rsidRDefault="00F91E46" w:rsidP="00F91E4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3FDC">
              <w:rPr>
                <w:rFonts w:ascii="Verdana" w:hAnsi="Verdana" w:cs="Arial"/>
                <w:sz w:val="20"/>
                <w:szCs w:val="20"/>
              </w:rPr>
              <w:t xml:space="preserve">2 dni przed ich przeprowadzeniem, </w:t>
            </w:r>
          </w:p>
          <w:p w:rsidR="00F91E46" w:rsidRPr="007A3FDC" w:rsidRDefault="00F91E46" w:rsidP="00F91E4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3FDC">
              <w:rPr>
                <w:rFonts w:ascii="Verdana" w:hAnsi="Verdana" w:cs="Arial"/>
                <w:sz w:val="20"/>
                <w:szCs w:val="20"/>
              </w:rPr>
              <w:t xml:space="preserve">a w przypadkach określonych w § 13a, </w:t>
            </w:r>
            <w:r w:rsidRPr="007A3FDC">
              <w:rPr>
                <w:rFonts w:ascii="Verdana" w:hAnsi="Verdana" w:cs="Arial"/>
                <w:sz w:val="20"/>
                <w:szCs w:val="20"/>
              </w:rPr>
              <w:br/>
              <w:t>§ 17a i § 21a - niezwłocznie</w:t>
            </w:r>
          </w:p>
        </w:tc>
      </w:tr>
      <w:tr w:rsidR="00F91E46" w:rsidRPr="007A3FDC" w:rsidTr="007232A9">
        <w:trPr>
          <w:jc w:val="center"/>
        </w:trPr>
        <w:tc>
          <w:tcPr>
            <w:tcW w:w="2164" w:type="dxa"/>
            <w:vAlign w:val="center"/>
          </w:tcPr>
          <w:p w:rsidR="00AD3A3E" w:rsidRPr="007A3FDC" w:rsidRDefault="00F91E46" w:rsidP="00F91E4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A3FDC">
              <w:rPr>
                <w:rFonts w:ascii="Verdana" w:hAnsi="Verdana" w:cs="Arial"/>
                <w:sz w:val="20"/>
                <w:szCs w:val="20"/>
                <w:lang w:val="en-US"/>
              </w:rPr>
              <w:t xml:space="preserve">WIG.MS-BAS, WIG.MS-FIN, WIG.GAMES, </w:t>
            </w:r>
          </w:p>
          <w:p w:rsidR="00F91E46" w:rsidRPr="007A3FDC" w:rsidRDefault="00F91E46" w:rsidP="00F91E4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A3FDC">
              <w:rPr>
                <w:rFonts w:ascii="Verdana" w:hAnsi="Verdana" w:cs="Arial"/>
                <w:sz w:val="20"/>
                <w:szCs w:val="20"/>
                <w:lang w:val="en-US"/>
              </w:rPr>
              <w:t>WIG.MS-PET</w:t>
            </w:r>
          </w:p>
        </w:tc>
        <w:tc>
          <w:tcPr>
            <w:tcW w:w="3260" w:type="dxa"/>
            <w:vAlign w:val="center"/>
          </w:tcPr>
          <w:p w:rsidR="00F91E46" w:rsidRPr="007A3FDC" w:rsidRDefault="00F91E46" w:rsidP="00F91E4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3FDC">
              <w:rPr>
                <w:rFonts w:ascii="Verdana" w:hAnsi="Verdana" w:cs="Arial"/>
                <w:sz w:val="20"/>
                <w:szCs w:val="20"/>
              </w:rPr>
              <w:t>Co najmniej 1 tydzień przed ich przeprowadzeniem</w:t>
            </w:r>
          </w:p>
        </w:tc>
        <w:tc>
          <w:tcPr>
            <w:tcW w:w="2835" w:type="dxa"/>
            <w:vAlign w:val="center"/>
          </w:tcPr>
          <w:p w:rsidR="00F91E46" w:rsidRPr="007A3FDC" w:rsidRDefault="00F91E46" w:rsidP="00F91E4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3FDC">
              <w:rPr>
                <w:rFonts w:ascii="Verdana" w:hAnsi="Verdana" w:cs="Arial"/>
                <w:sz w:val="20"/>
                <w:szCs w:val="20"/>
              </w:rPr>
              <w:t xml:space="preserve">2 dni przed ich przeprowadzeniem, </w:t>
            </w:r>
          </w:p>
          <w:p w:rsidR="00F91E46" w:rsidRPr="007A3FDC" w:rsidRDefault="00F91E46" w:rsidP="00F91E4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3FDC">
              <w:rPr>
                <w:rFonts w:ascii="Verdana" w:hAnsi="Verdana" w:cs="Arial"/>
                <w:sz w:val="20"/>
                <w:szCs w:val="20"/>
              </w:rPr>
              <w:t xml:space="preserve">a w przypadkach określonych w § 45 </w:t>
            </w:r>
            <w:r w:rsidR="00AD3A3E" w:rsidRPr="007A3FDC">
              <w:rPr>
                <w:rFonts w:ascii="Verdana" w:hAnsi="Verdana" w:cs="Arial"/>
                <w:sz w:val="20"/>
                <w:szCs w:val="20"/>
              </w:rPr>
              <w:t>–</w:t>
            </w:r>
            <w:r w:rsidRPr="007A3FDC">
              <w:rPr>
                <w:rFonts w:ascii="Verdana" w:hAnsi="Verdana" w:cs="Arial"/>
                <w:sz w:val="20"/>
                <w:szCs w:val="20"/>
              </w:rPr>
              <w:t xml:space="preserve"> niezwłocznie</w:t>
            </w:r>
          </w:p>
        </w:tc>
      </w:tr>
      <w:tr w:rsidR="00F91E46" w:rsidRPr="007A3FDC" w:rsidTr="007232A9">
        <w:trPr>
          <w:trHeight w:val="183"/>
          <w:jc w:val="center"/>
        </w:trPr>
        <w:tc>
          <w:tcPr>
            <w:tcW w:w="2164" w:type="dxa"/>
            <w:vAlign w:val="center"/>
          </w:tcPr>
          <w:p w:rsidR="00F91E46" w:rsidRPr="007A3FDC" w:rsidRDefault="00F91E46" w:rsidP="00F91E4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3FDC">
              <w:rPr>
                <w:rFonts w:ascii="Verdana" w:hAnsi="Verdana" w:cs="Arial"/>
                <w:sz w:val="20"/>
                <w:szCs w:val="20"/>
              </w:rPr>
              <w:t>WIG, WIG-Poland, WIG-</w:t>
            </w:r>
            <w:proofErr w:type="spellStart"/>
            <w:r w:rsidRPr="007A3FDC">
              <w:rPr>
                <w:rFonts w:ascii="Verdana" w:hAnsi="Verdana" w:cs="Arial"/>
                <w:sz w:val="20"/>
                <w:szCs w:val="20"/>
              </w:rPr>
              <w:t>Ukraine</w:t>
            </w:r>
            <w:proofErr w:type="spellEnd"/>
            <w:r w:rsidRPr="007A3FDC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proofErr w:type="spellStart"/>
            <w:r w:rsidRPr="007A3FDC">
              <w:rPr>
                <w:rFonts w:ascii="Verdana" w:hAnsi="Verdana" w:cs="Arial"/>
                <w:sz w:val="20"/>
                <w:szCs w:val="20"/>
              </w:rPr>
              <w:t>subindeksy</w:t>
            </w:r>
            <w:proofErr w:type="spellEnd"/>
            <w:r w:rsidRPr="007A3FDC">
              <w:rPr>
                <w:rFonts w:ascii="Verdana" w:hAnsi="Verdana" w:cs="Arial"/>
                <w:sz w:val="20"/>
                <w:szCs w:val="20"/>
              </w:rPr>
              <w:t xml:space="preserve"> sektorowe, </w:t>
            </w:r>
            <w:proofErr w:type="spellStart"/>
            <w:r w:rsidRPr="007A3FDC">
              <w:rPr>
                <w:rFonts w:ascii="Verdana" w:hAnsi="Verdana" w:cs="Arial"/>
                <w:sz w:val="20"/>
                <w:szCs w:val="20"/>
              </w:rPr>
              <w:t>WIGdiv</w:t>
            </w:r>
            <w:proofErr w:type="spellEnd"/>
            <w:r w:rsidRPr="007A3FDC">
              <w:rPr>
                <w:rFonts w:ascii="Verdana" w:hAnsi="Verdana" w:cs="Arial"/>
                <w:sz w:val="20"/>
                <w:szCs w:val="20"/>
              </w:rPr>
              <w:t xml:space="preserve">, </w:t>
            </w:r>
          </w:p>
        </w:tc>
        <w:tc>
          <w:tcPr>
            <w:tcW w:w="3260" w:type="dxa"/>
            <w:vAlign w:val="center"/>
          </w:tcPr>
          <w:p w:rsidR="00F91E46" w:rsidRPr="007A3FDC" w:rsidRDefault="00F91E46" w:rsidP="00F91E4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3FDC">
              <w:rPr>
                <w:rFonts w:ascii="Verdana" w:hAnsi="Verdana" w:cs="Arial"/>
                <w:sz w:val="20"/>
                <w:szCs w:val="20"/>
              </w:rPr>
              <w:t>Co najmniej 1 tydzień przed ich przeprowadzeniem</w:t>
            </w:r>
          </w:p>
        </w:tc>
        <w:tc>
          <w:tcPr>
            <w:tcW w:w="2835" w:type="dxa"/>
            <w:vAlign w:val="center"/>
          </w:tcPr>
          <w:p w:rsidR="00F91E46" w:rsidRPr="007A3FDC" w:rsidRDefault="00F91E46" w:rsidP="00F91E4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3FDC">
              <w:rPr>
                <w:rFonts w:ascii="Verdana" w:hAnsi="Verdana" w:cs="Arial"/>
                <w:sz w:val="20"/>
                <w:szCs w:val="20"/>
              </w:rPr>
              <w:t>Niezwłocznie</w:t>
            </w:r>
          </w:p>
          <w:p w:rsidR="00F91E46" w:rsidRPr="007A3FDC" w:rsidRDefault="00F91E46" w:rsidP="00F91E4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  <w:p w:rsidR="00F91E46" w:rsidRPr="007A3FDC" w:rsidRDefault="00F91E46" w:rsidP="00F91E4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F91E46" w:rsidRPr="007A3FDC" w:rsidRDefault="00F91E46" w:rsidP="00B16955">
      <w:pPr>
        <w:spacing w:after="360" w:line="360" w:lineRule="auto"/>
        <w:jc w:val="both"/>
        <w:rPr>
          <w:rFonts w:ascii="Verdana" w:hAnsi="Verdana" w:cs="Arial"/>
          <w:sz w:val="20"/>
          <w:szCs w:val="20"/>
        </w:rPr>
      </w:pPr>
    </w:p>
    <w:p w:rsidR="001D3D65" w:rsidRPr="007A3FDC" w:rsidRDefault="001D3D65" w:rsidP="001D3D65">
      <w:pPr>
        <w:pStyle w:val="Akapitzlist"/>
        <w:numPr>
          <w:ilvl w:val="0"/>
          <w:numId w:val="42"/>
        </w:numPr>
        <w:tabs>
          <w:tab w:val="num" w:pos="709"/>
        </w:tabs>
        <w:spacing w:after="120" w:line="36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 xml:space="preserve">w § 9 w ust. 5 zdanie pierwsze otrzymuje brzmienie: </w:t>
      </w:r>
    </w:p>
    <w:p w:rsidR="001D3D65" w:rsidRPr="007A3FDC" w:rsidRDefault="001D3D65" w:rsidP="001D3D65">
      <w:pPr>
        <w:pStyle w:val="Akapitzlist"/>
        <w:spacing w:after="360" w:line="360" w:lineRule="auto"/>
        <w:ind w:left="218"/>
        <w:contextualSpacing w:val="0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bCs/>
          <w:sz w:val="20"/>
        </w:rPr>
        <w:t xml:space="preserve">„Wartość akcji w wolnym obrocie oblicza się jako iloczyn kursu zamknięcia akcji </w:t>
      </w:r>
      <w:r w:rsidRPr="007A3FDC">
        <w:rPr>
          <w:rFonts w:ascii="Verdana" w:hAnsi="Verdana" w:cs="Arial"/>
          <w:bCs/>
          <w:sz w:val="20"/>
        </w:rPr>
        <w:br/>
        <w:t xml:space="preserve">i liczby akcji w wolnym obrocie w dniu rankingu, o której mowa w § 47.”; </w:t>
      </w:r>
    </w:p>
    <w:p w:rsidR="001550A4" w:rsidRPr="007A3FDC" w:rsidRDefault="001550A4" w:rsidP="00B16955">
      <w:pPr>
        <w:pStyle w:val="Akapitzlist"/>
        <w:numPr>
          <w:ilvl w:val="0"/>
          <w:numId w:val="42"/>
        </w:numPr>
        <w:tabs>
          <w:tab w:val="num" w:pos="709"/>
        </w:tabs>
        <w:spacing w:after="360" w:line="36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>dotychczasowy Rozdział VII oznacza się jako Rozdział VIII, a dotychczasowe § 43, § 44 i § 45 oznacza się odpowiednio jako § 47, § 48 i § 49</w:t>
      </w:r>
      <w:r w:rsidR="00AD3A3E" w:rsidRPr="007A3FDC">
        <w:rPr>
          <w:rFonts w:ascii="Verdana" w:hAnsi="Verdana" w:cs="Arial"/>
          <w:sz w:val="20"/>
          <w:szCs w:val="20"/>
        </w:rPr>
        <w:t xml:space="preserve">; </w:t>
      </w:r>
    </w:p>
    <w:p w:rsidR="00F91E46" w:rsidRPr="007A3FDC" w:rsidRDefault="001550A4" w:rsidP="00B16955">
      <w:pPr>
        <w:pStyle w:val="Akapitzlist"/>
        <w:numPr>
          <w:ilvl w:val="0"/>
          <w:numId w:val="42"/>
        </w:numPr>
        <w:tabs>
          <w:tab w:val="num" w:pos="709"/>
        </w:tabs>
        <w:spacing w:after="240" w:line="36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 xml:space="preserve">po § 42 dodaje się </w:t>
      </w:r>
      <w:r w:rsidR="00AD3A3E" w:rsidRPr="007A3FDC">
        <w:rPr>
          <w:rFonts w:ascii="Verdana" w:hAnsi="Verdana" w:cs="Arial"/>
          <w:sz w:val="20"/>
          <w:szCs w:val="20"/>
        </w:rPr>
        <w:t xml:space="preserve">nowy </w:t>
      </w:r>
      <w:r w:rsidR="00F91E46" w:rsidRPr="007A3FDC">
        <w:rPr>
          <w:rFonts w:ascii="Verdana" w:hAnsi="Verdana" w:cs="Arial"/>
          <w:sz w:val="20"/>
          <w:szCs w:val="20"/>
        </w:rPr>
        <w:t>Rozdział VII</w:t>
      </w:r>
      <w:r w:rsidRPr="007A3FDC">
        <w:rPr>
          <w:rFonts w:ascii="Verdana" w:hAnsi="Verdana" w:cs="Arial"/>
          <w:sz w:val="20"/>
          <w:szCs w:val="20"/>
        </w:rPr>
        <w:t xml:space="preserve"> w brzmieniu</w:t>
      </w:r>
      <w:r w:rsidR="00F91E46" w:rsidRPr="007A3FDC">
        <w:rPr>
          <w:rFonts w:ascii="Verdana" w:hAnsi="Verdana" w:cs="Arial"/>
          <w:sz w:val="20"/>
          <w:szCs w:val="20"/>
        </w:rPr>
        <w:t>:</w:t>
      </w:r>
    </w:p>
    <w:p w:rsidR="00F91E46" w:rsidRPr="007A3FDC" w:rsidRDefault="00F91E46" w:rsidP="00F91E46">
      <w:pPr>
        <w:pStyle w:val="Tekstpodstawowy"/>
        <w:tabs>
          <w:tab w:val="clear" w:pos="720"/>
          <w:tab w:val="num" w:pos="284"/>
        </w:tabs>
        <w:spacing w:after="120" w:line="360" w:lineRule="auto"/>
        <w:ind w:left="284"/>
        <w:rPr>
          <w:rFonts w:ascii="Verdana" w:hAnsi="Verdana" w:cs="Arial"/>
          <w:sz w:val="20"/>
        </w:rPr>
      </w:pPr>
      <w:r w:rsidRPr="007A3FDC">
        <w:rPr>
          <w:rFonts w:ascii="Verdana" w:eastAsia="Calibri" w:hAnsi="Verdana" w:cs="Arial"/>
          <w:sz w:val="20"/>
          <w:szCs w:val="22"/>
          <w:lang w:eastAsia="en-US"/>
        </w:rPr>
        <w:t>„</w:t>
      </w:r>
      <w:r w:rsidRPr="007A3FDC">
        <w:rPr>
          <w:rFonts w:ascii="Verdana" w:hAnsi="Verdana" w:cs="Arial"/>
          <w:sz w:val="20"/>
        </w:rPr>
        <w:t>ROZDZIAŁ VII</w:t>
      </w:r>
    </w:p>
    <w:p w:rsidR="00DA7AEF" w:rsidRPr="007A3FDC" w:rsidRDefault="00F91E46" w:rsidP="00B16955">
      <w:pPr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ind w:left="284"/>
        <w:outlineLvl w:val="0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 xml:space="preserve">Indeksy </w:t>
      </w:r>
      <w:proofErr w:type="spellStart"/>
      <w:r w:rsidRPr="007A3FDC">
        <w:rPr>
          <w:rFonts w:ascii="Verdana" w:hAnsi="Verdana" w:cs="Arial"/>
          <w:sz w:val="20"/>
          <w:szCs w:val="20"/>
        </w:rPr>
        <w:t>makrosektorowe</w:t>
      </w:r>
      <w:proofErr w:type="spellEnd"/>
    </w:p>
    <w:p w:rsidR="00DA7AEF" w:rsidRPr="007A3FDC" w:rsidRDefault="00DA7AEF" w:rsidP="00DA7AEF">
      <w:pPr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ind w:left="284" w:hanging="284"/>
        <w:jc w:val="center"/>
        <w:outlineLvl w:val="0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>§ 43</w:t>
      </w:r>
    </w:p>
    <w:p w:rsidR="00DA7AEF" w:rsidRPr="007A3FDC" w:rsidRDefault="00DA7AEF" w:rsidP="00B16955">
      <w:pPr>
        <w:pStyle w:val="Akapitzlist"/>
        <w:numPr>
          <w:ilvl w:val="0"/>
          <w:numId w:val="43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</w:rPr>
        <w:t xml:space="preserve">Giełda oblicza i podaje do publicznej wiadomości wartości następujących indeksów </w:t>
      </w:r>
      <w:proofErr w:type="spellStart"/>
      <w:r w:rsidRPr="007A3FDC">
        <w:rPr>
          <w:rFonts w:ascii="Verdana" w:hAnsi="Verdana" w:cs="Arial"/>
          <w:sz w:val="20"/>
        </w:rPr>
        <w:t>makrosektorowych</w:t>
      </w:r>
      <w:proofErr w:type="spellEnd"/>
      <w:r w:rsidRPr="007A3FDC">
        <w:rPr>
          <w:rFonts w:ascii="Verdana" w:hAnsi="Verdana" w:cs="Arial"/>
          <w:sz w:val="20"/>
        </w:rPr>
        <w:t>:</w:t>
      </w:r>
    </w:p>
    <w:p w:rsidR="00DA7AEF" w:rsidRPr="007A3FDC" w:rsidRDefault="00DA7AEF" w:rsidP="00DA7AEF">
      <w:pPr>
        <w:numPr>
          <w:ilvl w:val="0"/>
          <w:numId w:val="37"/>
        </w:numPr>
        <w:spacing w:after="120" w:line="36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</w:rPr>
        <w:t>WIG.MS-BAS (obejmujący spółki z branż związanych z energią, górnictwem i surowcami)</w:t>
      </w:r>
      <w:r w:rsidR="00606549" w:rsidRPr="007A3FDC">
        <w:rPr>
          <w:rFonts w:ascii="Verdana" w:hAnsi="Verdana" w:cs="Arial"/>
          <w:sz w:val="20"/>
        </w:rPr>
        <w:t>,</w:t>
      </w:r>
    </w:p>
    <w:p w:rsidR="00DA7AEF" w:rsidRPr="007A3FDC" w:rsidRDefault="00DA7AEF" w:rsidP="00DA7AEF">
      <w:pPr>
        <w:numPr>
          <w:ilvl w:val="0"/>
          <w:numId w:val="37"/>
        </w:numPr>
        <w:spacing w:after="120" w:line="36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</w:rPr>
        <w:t>WIG.MS-FIN (obejmujący spółki z branż związanych z bankowością, ubezpieczeniami, rynkiem kapitałowym oraz wierzytelnościami),</w:t>
      </w:r>
    </w:p>
    <w:p w:rsidR="00DA7AEF" w:rsidRPr="007A3FDC" w:rsidRDefault="00DA7AEF" w:rsidP="00DA7AEF">
      <w:pPr>
        <w:numPr>
          <w:ilvl w:val="0"/>
          <w:numId w:val="37"/>
        </w:numPr>
        <w:spacing w:after="120" w:line="36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</w:rPr>
        <w:lastRenderedPageBreak/>
        <w:t>WIG.GAMES (obejmujący spółki z branży producentów i wydawców gier wideo),</w:t>
      </w:r>
    </w:p>
    <w:p w:rsidR="00DA7AEF" w:rsidRPr="007A3FDC" w:rsidRDefault="00DA7AEF" w:rsidP="00DA7AEF">
      <w:pPr>
        <w:numPr>
          <w:ilvl w:val="0"/>
          <w:numId w:val="37"/>
        </w:numPr>
        <w:spacing w:after="120" w:line="36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</w:rPr>
        <w:t>WIG.MS-PET (obejmujący spółki z branż związanych z paliwami, gazem oraz chemią).</w:t>
      </w:r>
    </w:p>
    <w:p w:rsidR="00DA7AEF" w:rsidRPr="007A3FDC" w:rsidRDefault="00DA7AEF" w:rsidP="00B16955">
      <w:pPr>
        <w:pStyle w:val="Akapitzlist"/>
        <w:numPr>
          <w:ilvl w:val="0"/>
          <w:numId w:val="43"/>
        </w:numPr>
        <w:spacing w:after="120" w:line="36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 xml:space="preserve">W skład portfeli indeksów mogą wchodzić pakiety akcji spółek zakwalifikowanych do indeksów WIG20, mWIG40 lub sWIG80. </w:t>
      </w:r>
    </w:p>
    <w:p w:rsidR="00DA7AEF" w:rsidRPr="007A3FDC" w:rsidRDefault="00DA7AEF" w:rsidP="00B16955">
      <w:pPr>
        <w:numPr>
          <w:ilvl w:val="0"/>
          <w:numId w:val="43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</w:rPr>
        <w:t xml:space="preserve">W skład portfeli poszczególnych indeksów wchodzą pakiety akcji 5 spółek. </w:t>
      </w:r>
      <w:r w:rsidRPr="007A3FDC">
        <w:rPr>
          <w:rFonts w:ascii="Verdana" w:hAnsi="Verdana" w:cs="Arial"/>
          <w:sz w:val="20"/>
        </w:rPr>
        <w:br/>
        <w:t xml:space="preserve">W szczególnie uzasadnionych przypadkach dopuszcza się sytuację, </w:t>
      </w:r>
      <w:r w:rsidR="006178F6" w:rsidRPr="007A3FDC">
        <w:rPr>
          <w:rFonts w:ascii="Verdana" w:hAnsi="Verdana" w:cs="Arial"/>
          <w:sz w:val="20"/>
        </w:rPr>
        <w:br/>
      </w:r>
      <w:r w:rsidRPr="007A3FDC">
        <w:rPr>
          <w:rFonts w:ascii="Verdana" w:hAnsi="Verdana" w:cs="Arial"/>
          <w:sz w:val="20"/>
        </w:rPr>
        <w:t>że w indeksie uczestniczy więcej lub mniej niż 5 spółek.</w:t>
      </w:r>
    </w:p>
    <w:p w:rsidR="00DA7AEF" w:rsidRPr="007A3FDC" w:rsidRDefault="00DA7AEF" w:rsidP="00B16955">
      <w:pPr>
        <w:numPr>
          <w:ilvl w:val="0"/>
          <w:numId w:val="43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</w:rPr>
        <w:t xml:space="preserve">Datami bazowymi indeksów </w:t>
      </w:r>
      <w:proofErr w:type="spellStart"/>
      <w:r w:rsidRPr="007A3FDC">
        <w:rPr>
          <w:rFonts w:ascii="Verdana" w:hAnsi="Verdana" w:cs="Arial"/>
          <w:sz w:val="20"/>
        </w:rPr>
        <w:t>makrosektorowych</w:t>
      </w:r>
      <w:proofErr w:type="spellEnd"/>
      <w:r w:rsidRPr="007A3FDC">
        <w:rPr>
          <w:rFonts w:ascii="Verdana" w:hAnsi="Verdana" w:cs="Arial"/>
          <w:sz w:val="20"/>
        </w:rPr>
        <w:t xml:space="preserve"> są:</w:t>
      </w:r>
    </w:p>
    <w:p w:rsidR="00DA7AEF" w:rsidRPr="007A3FDC" w:rsidRDefault="00DA7AEF" w:rsidP="00B16955">
      <w:pPr>
        <w:numPr>
          <w:ilvl w:val="0"/>
          <w:numId w:val="38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</w:rPr>
        <w:t>30 grudnia 2015 r. dla WIG.MS-BAS,</w:t>
      </w:r>
    </w:p>
    <w:p w:rsidR="00DA7AEF" w:rsidRPr="007A3FDC" w:rsidRDefault="00DA7AEF" w:rsidP="00B16955">
      <w:pPr>
        <w:numPr>
          <w:ilvl w:val="0"/>
          <w:numId w:val="38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</w:rPr>
        <w:t xml:space="preserve">30 grudnia 2015 r. dla WIG.MS-FIN, </w:t>
      </w:r>
    </w:p>
    <w:p w:rsidR="00DA7AEF" w:rsidRPr="007A3FDC" w:rsidRDefault="00DA7AEF" w:rsidP="00B16955">
      <w:pPr>
        <w:numPr>
          <w:ilvl w:val="0"/>
          <w:numId w:val="38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</w:rPr>
        <w:t>28 grudnia 2018 r. dla WIG.GAMES,</w:t>
      </w:r>
    </w:p>
    <w:p w:rsidR="00DA7AEF" w:rsidRPr="007A3FDC" w:rsidRDefault="00DA7AEF" w:rsidP="00B16955">
      <w:pPr>
        <w:numPr>
          <w:ilvl w:val="0"/>
          <w:numId w:val="38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</w:rPr>
        <w:t>29 grudnia 2017 r. dla WIG.MS-PET.</w:t>
      </w:r>
    </w:p>
    <w:p w:rsidR="00DA7AEF" w:rsidRPr="007A3FDC" w:rsidRDefault="00DA7AEF" w:rsidP="00B16955">
      <w:pPr>
        <w:numPr>
          <w:ilvl w:val="0"/>
          <w:numId w:val="43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 xml:space="preserve">Wartościami bazowymi indeksów </w:t>
      </w:r>
      <w:proofErr w:type="spellStart"/>
      <w:r w:rsidRPr="007A3FDC">
        <w:rPr>
          <w:rFonts w:ascii="Verdana" w:hAnsi="Verdana" w:cs="Arial"/>
          <w:sz w:val="20"/>
        </w:rPr>
        <w:t>makrosektorowych</w:t>
      </w:r>
      <w:proofErr w:type="spellEnd"/>
      <w:r w:rsidRPr="007A3FDC">
        <w:rPr>
          <w:rFonts w:ascii="Verdana" w:hAnsi="Verdana" w:cs="Arial"/>
          <w:sz w:val="20"/>
          <w:szCs w:val="20"/>
        </w:rPr>
        <w:t xml:space="preserve"> są:</w:t>
      </w:r>
    </w:p>
    <w:p w:rsidR="00DA7AEF" w:rsidRPr="007A3FDC" w:rsidRDefault="00DA7AEF" w:rsidP="00B16955">
      <w:pPr>
        <w:numPr>
          <w:ilvl w:val="0"/>
          <w:numId w:val="39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 xml:space="preserve">10000,00 punktów dla </w:t>
      </w:r>
      <w:r w:rsidRPr="007A3FDC">
        <w:rPr>
          <w:rFonts w:ascii="Verdana" w:hAnsi="Verdana" w:cs="Arial"/>
          <w:sz w:val="20"/>
        </w:rPr>
        <w:t>WIG.MS-BAS</w:t>
      </w:r>
      <w:r w:rsidRPr="007A3FDC">
        <w:rPr>
          <w:rFonts w:ascii="Verdana" w:hAnsi="Verdana" w:cs="Arial"/>
          <w:sz w:val="20"/>
          <w:szCs w:val="20"/>
        </w:rPr>
        <w:t>,</w:t>
      </w:r>
    </w:p>
    <w:p w:rsidR="00DA7AEF" w:rsidRPr="007A3FDC" w:rsidRDefault="00DA7AEF" w:rsidP="00B16955">
      <w:pPr>
        <w:numPr>
          <w:ilvl w:val="0"/>
          <w:numId w:val="39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 xml:space="preserve">10000,00 punktów dla </w:t>
      </w:r>
      <w:r w:rsidRPr="007A3FDC">
        <w:rPr>
          <w:rFonts w:ascii="Verdana" w:hAnsi="Verdana" w:cs="Arial"/>
          <w:sz w:val="20"/>
        </w:rPr>
        <w:t>WIG.MS-FIN</w:t>
      </w:r>
      <w:r w:rsidRPr="007A3FDC">
        <w:rPr>
          <w:rFonts w:ascii="Verdana" w:hAnsi="Verdana" w:cs="Arial"/>
          <w:sz w:val="20"/>
          <w:szCs w:val="20"/>
        </w:rPr>
        <w:t>,</w:t>
      </w:r>
    </w:p>
    <w:p w:rsidR="00DA7AEF" w:rsidRPr="007A3FDC" w:rsidRDefault="00DA7AEF" w:rsidP="00B16955">
      <w:pPr>
        <w:numPr>
          <w:ilvl w:val="0"/>
          <w:numId w:val="39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 xml:space="preserve">10000,00 punktów dla </w:t>
      </w:r>
      <w:r w:rsidRPr="007A3FDC">
        <w:rPr>
          <w:rFonts w:ascii="Verdana" w:hAnsi="Verdana" w:cs="Arial"/>
          <w:sz w:val="20"/>
        </w:rPr>
        <w:t>WIG.GAMES</w:t>
      </w:r>
      <w:r w:rsidRPr="007A3FDC">
        <w:rPr>
          <w:rFonts w:ascii="Verdana" w:hAnsi="Verdana" w:cs="Arial"/>
          <w:sz w:val="20"/>
          <w:szCs w:val="20"/>
        </w:rPr>
        <w:t>,</w:t>
      </w:r>
    </w:p>
    <w:p w:rsidR="00DA7AEF" w:rsidRPr="007A3FDC" w:rsidRDefault="00DA7AEF" w:rsidP="00B16955">
      <w:pPr>
        <w:numPr>
          <w:ilvl w:val="0"/>
          <w:numId w:val="39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 xml:space="preserve">10000,00 punktów dla </w:t>
      </w:r>
      <w:r w:rsidRPr="007A3FDC">
        <w:rPr>
          <w:rFonts w:ascii="Verdana" w:hAnsi="Verdana" w:cs="Arial"/>
          <w:sz w:val="20"/>
        </w:rPr>
        <w:t>WIG.MS-PET.</w:t>
      </w:r>
    </w:p>
    <w:p w:rsidR="00DA7AEF" w:rsidRPr="007A3FDC" w:rsidRDefault="00DA7AEF" w:rsidP="00B16955">
      <w:pPr>
        <w:numPr>
          <w:ilvl w:val="0"/>
          <w:numId w:val="43"/>
        </w:numPr>
        <w:spacing w:after="120" w:line="360" w:lineRule="auto"/>
        <w:jc w:val="both"/>
        <w:rPr>
          <w:rFonts w:ascii="Verdana" w:hAnsi="Verdana" w:cs="Arial"/>
          <w:sz w:val="20"/>
        </w:rPr>
      </w:pPr>
      <w:r w:rsidRPr="007A3FDC">
        <w:rPr>
          <w:rFonts w:ascii="Verdana" w:hAnsi="Verdana" w:cs="Arial"/>
          <w:sz w:val="20"/>
        </w:rPr>
        <w:t xml:space="preserve">Indeksy </w:t>
      </w:r>
      <w:proofErr w:type="spellStart"/>
      <w:r w:rsidRPr="007A3FDC">
        <w:rPr>
          <w:rFonts w:ascii="Verdana" w:hAnsi="Verdana" w:cs="Arial"/>
          <w:sz w:val="20"/>
        </w:rPr>
        <w:t>makrosektorowe</w:t>
      </w:r>
      <w:proofErr w:type="spellEnd"/>
      <w:r w:rsidRPr="007A3FDC">
        <w:rPr>
          <w:rFonts w:ascii="Verdana" w:hAnsi="Verdana" w:cs="Arial"/>
          <w:sz w:val="20"/>
        </w:rPr>
        <w:t xml:space="preserve"> obliczane są bez uwzględniania dochodów z tytułu dywidend.</w:t>
      </w:r>
    </w:p>
    <w:p w:rsidR="00DA7AEF" w:rsidRPr="007A3FDC" w:rsidRDefault="00DA7AEF" w:rsidP="00B16955">
      <w:pPr>
        <w:numPr>
          <w:ilvl w:val="0"/>
          <w:numId w:val="43"/>
        </w:numPr>
        <w:spacing w:after="120" w:line="360" w:lineRule="auto"/>
        <w:jc w:val="both"/>
        <w:rPr>
          <w:rFonts w:ascii="Verdana" w:hAnsi="Verdana" w:cs="Arial"/>
          <w:sz w:val="20"/>
        </w:rPr>
      </w:pPr>
      <w:r w:rsidRPr="007A3FDC">
        <w:rPr>
          <w:rFonts w:ascii="Verdana" w:hAnsi="Verdana" w:cs="Arial"/>
          <w:sz w:val="20"/>
        </w:rPr>
        <w:t xml:space="preserve">W przypadku notowania akcji spółki po raz pierwszy „bez prawa poboru” </w:t>
      </w:r>
      <w:r w:rsidRPr="007A3FDC">
        <w:rPr>
          <w:rFonts w:ascii="Verdana" w:hAnsi="Verdana" w:cs="Arial"/>
          <w:sz w:val="20"/>
        </w:rPr>
        <w:br/>
        <w:t xml:space="preserve">z kursem odniesienia, niższym niż ostatni kurs zamknięcia, pakiet akcji tej spółki nie jest uwzględniany na pierwszej sesji „bez prawa poboru” w portfelu indeksu. Zapowiedź przewidywanej zmiany w portfelu indeksu związanej </w:t>
      </w:r>
      <w:r w:rsidR="006178F6" w:rsidRPr="007A3FDC">
        <w:rPr>
          <w:rFonts w:ascii="Verdana" w:hAnsi="Verdana" w:cs="Arial"/>
          <w:sz w:val="20"/>
        </w:rPr>
        <w:br/>
      </w:r>
      <w:r w:rsidRPr="007A3FDC">
        <w:rPr>
          <w:rFonts w:ascii="Verdana" w:hAnsi="Verdana" w:cs="Arial"/>
          <w:sz w:val="20"/>
        </w:rPr>
        <w:t xml:space="preserve">z niniejszą operacją może zostać podana do publicznej wiadomości na 1 dzień przed dniem ostatniego notowania akcji danej spółki z prawem poboru. Informacje o przeprowadzeniu niniejszej operacji podawane są do publicznej wiadomości po zakończeniu sesji, podczas której akcje tej spółki były po raz ostatni notowane z prawem poboru. </w:t>
      </w:r>
    </w:p>
    <w:p w:rsidR="00DA7AEF" w:rsidRPr="007A3FDC" w:rsidRDefault="00DA7AEF" w:rsidP="00DA7A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ind w:left="284" w:hanging="284"/>
        <w:jc w:val="center"/>
        <w:outlineLvl w:val="0"/>
        <w:rPr>
          <w:rFonts w:ascii="Verdana" w:hAnsi="Verdana"/>
          <w:sz w:val="20"/>
          <w:szCs w:val="20"/>
        </w:rPr>
      </w:pPr>
      <w:r w:rsidRPr="007A3FDC">
        <w:rPr>
          <w:rFonts w:ascii="Verdana" w:hAnsi="Verdana"/>
          <w:sz w:val="20"/>
          <w:szCs w:val="20"/>
        </w:rPr>
        <w:t>§ 44</w:t>
      </w:r>
    </w:p>
    <w:p w:rsidR="00DA7AEF" w:rsidRPr="007A3FDC" w:rsidRDefault="00DA7AEF" w:rsidP="00B16955">
      <w:pPr>
        <w:numPr>
          <w:ilvl w:val="0"/>
          <w:numId w:val="45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7A3FDC">
        <w:rPr>
          <w:rFonts w:ascii="Verdana" w:hAnsi="Verdana"/>
          <w:sz w:val="20"/>
          <w:szCs w:val="20"/>
        </w:rPr>
        <w:t xml:space="preserve">Po sesji trzeciego piątku marca, czerwca, września i grudnia przeprowadzana jest rewizja kwartalna portfela indeksu </w:t>
      </w:r>
      <w:proofErr w:type="spellStart"/>
      <w:r w:rsidRPr="007A3FDC">
        <w:rPr>
          <w:rFonts w:ascii="Verdana" w:hAnsi="Verdana"/>
          <w:sz w:val="20"/>
          <w:szCs w:val="20"/>
        </w:rPr>
        <w:t>makrosektorowego</w:t>
      </w:r>
      <w:proofErr w:type="spellEnd"/>
      <w:r w:rsidRPr="007A3FDC">
        <w:rPr>
          <w:rFonts w:ascii="Verdana" w:hAnsi="Verdana"/>
          <w:sz w:val="20"/>
          <w:szCs w:val="20"/>
        </w:rPr>
        <w:t>, której celem jest wyznaczenie nowych pakietów akcji.</w:t>
      </w:r>
    </w:p>
    <w:p w:rsidR="00DA7AEF" w:rsidRPr="007A3FDC" w:rsidRDefault="00DA7AEF" w:rsidP="00B16955">
      <w:pPr>
        <w:numPr>
          <w:ilvl w:val="0"/>
          <w:numId w:val="45"/>
        </w:numPr>
        <w:spacing w:after="160" w:line="360" w:lineRule="auto"/>
        <w:jc w:val="both"/>
        <w:rPr>
          <w:rFonts w:ascii="Verdana" w:hAnsi="Verdana"/>
          <w:sz w:val="20"/>
          <w:szCs w:val="20"/>
        </w:rPr>
      </w:pPr>
      <w:r w:rsidRPr="007A3FDC">
        <w:rPr>
          <w:rFonts w:ascii="Verdana" w:hAnsi="Verdana"/>
          <w:sz w:val="20"/>
          <w:szCs w:val="20"/>
        </w:rPr>
        <w:lastRenderedPageBreak/>
        <w:t xml:space="preserve">Kwalifikacja spółek do indeksu </w:t>
      </w:r>
      <w:proofErr w:type="spellStart"/>
      <w:r w:rsidRPr="007A3FDC">
        <w:rPr>
          <w:rFonts w:ascii="Verdana" w:hAnsi="Verdana"/>
          <w:sz w:val="20"/>
          <w:szCs w:val="20"/>
        </w:rPr>
        <w:t>makrosektorowego</w:t>
      </w:r>
      <w:proofErr w:type="spellEnd"/>
      <w:r w:rsidRPr="007A3FDC">
        <w:rPr>
          <w:rFonts w:ascii="Verdana" w:hAnsi="Verdana"/>
          <w:sz w:val="20"/>
          <w:szCs w:val="20"/>
        </w:rPr>
        <w:t xml:space="preserve"> ma miejsce na podstawie ich pozycji w rankingu danego indeksu.</w:t>
      </w:r>
    </w:p>
    <w:p w:rsidR="00DA7AEF" w:rsidRPr="007A3FDC" w:rsidRDefault="00DA7AEF" w:rsidP="00B16955">
      <w:pPr>
        <w:numPr>
          <w:ilvl w:val="0"/>
          <w:numId w:val="45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7A3FDC">
        <w:rPr>
          <w:rFonts w:ascii="Verdana" w:hAnsi="Verdana"/>
          <w:sz w:val="20"/>
          <w:szCs w:val="20"/>
        </w:rPr>
        <w:t xml:space="preserve">Ranking indeksu </w:t>
      </w:r>
      <w:proofErr w:type="spellStart"/>
      <w:r w:rsidRPr="007A3FDC">
        <w:rPr>
          <w:rFonts w:ascii="Verdana" w:hAnsi="Verdana"/>
          <w:sz w:val="20"/>
          <w:szCs w:val="20"/>
        </w:rPr>
        <w:t>makrosektorowego</w:t>
      </w:r>
      <w:proofErr w:type="spellEnd"/>
      <w:r w:rsidRPr="007A3FDC">
        <w:rPr>
          <w:rFonts w:ascii="Verdana" w:hAnsi="Verdana"/>
          <w:sz w:val="20"/>
          <w:szCs w:val="20"/>
        </w:rPr>
        <w:t xml:space="preserve"> sporządzany jest według stanu na koniec lutego, maja, sierpnia i listopada, a przy jego sporządzeniu bierze się pod uwagę średni </w:t>
      </w:r>
      <w:proofErr w:type="spellStart"/>
      <w:r w:rsidRPr="007A3FDC">
        <w:rPr>
          <w:rFonts w:ascii="Verdana" w:hAnsi="Verdana"/>
          <w:sz w:val="20"/>
          <w:szCs w:val="20"/>
        </w:rPr>
        <w:t>spread</w:t>
      </w:r>
      <w:proofErr w:type="spellEnd"/>
      <w:r w:rsidRPr="007A3FDC">
        <w:rPr>
          <w:rFonts w:ascii="Verdana" w:hAnsi="Verdana"/>
          <w:sz w:val="20"/>
          <w:szCs w:val="20"/>
        </w:rPr>
        <w:t xml:space="preserve"> </w:t>
      </w:r>
      <w:r w:rsidRPr="007A3FDC">
        <w:rPr>
          <w:rFonts w:ascii="Verdana" w:hAnsi="Verdana"/>
          <w:sz w:val="20"/>
          <w:szCs w:val="20"/>
          <w:lang w:eastAsia="en-US"/>
        </w:rPr>
        <w:t xml:space="preserve">ważony wartością obrotów </w:t>
      </w:r>
      <w:r w:rsidRPr="007A3FDC">
        <w:rPr>
          <w:rFonts w:ascii="Verdana" w:hAnsi="Verdana"/>
          <w:sz w:val="20"/>
          <w:szCs w:val="20"/>
        </w:rPr>
        <w:t xml:space="preserve">oraz średnią dzienną liczbę transakcji, obliczane za okres ostatnich 12 miesięcy (z uwzględnieniem miesiąca, w którym sporządza się ranking). </w:t>
      </w:r>
    </w:p>
    <w:p w:rsidR="00DA7AEF" w:rsidRPr="007A3FDC" w:rsidRDefault="00BE6776" w:rsidP="00B16955">
      <w:pPr>
        <w:numPr>
          <w:ilvl w:val="0"/>
          <w:numId w:val="45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7A3FDC">
        <w:rPr>
          <w:rFonts w:ascii="Verdana" w:hAnsi="Verdana"/>
          <w:sz w:val="20"/>
          <w:szCs w:val="20"/>
        </w:rPr>
        <w:t xml:space="preserve">W rankingu indeksu </w:t>
      </w:r>
      <w:proofErr w:type="spellStart"/>
      <w:r w:rsidRPr="007A3FDC">
        <w:rPr>
          <w:rFonts w:ascii="Verdana" w:hAnsi="Verdana"/>
          <w:sz w:val="20"/>
          <w:szCs w:val="20"/>
        </w:rPr>
        <w:t>makrosektorowego</w:t>
      </w:r>
      <w:proofErr w:type="spellEnd"/>
      <w:r w:rsidRPr="007A3FDC">
        <w:rPr>
          <w:rFonts w:ascii="Verdana" w:hAnsi="Verdana"/>
          <w:sz w:val="20"/>
          <w:szCs w:val="20"/>
        </w:rPr>
        <w:t xml:space="preserve"> </w:t>
      </w:r>
      <w:r w:rsidR="00B16955" w:rsidRPr="007A3FDC">
        <w:rPr>
          <w:rFonts w:ascii="Verdana" w:hAnsi="Verdana"/>
          <w:sz w:val="20"/>
          <w:szCs w:val="20"/>
        </w:rPr>
        <w:t xml:space="preserve">najwyższe pozycje zajmują </w:t>
      </w:r>
      <w:r w:rsidRPr="007A3FDC">
        <w:rPr>
          <w:rFonts w:ascii="Verdana" w:hAnsi="Verdana"/>
          <w:sz w:val="20"/>
          <w:szCs w:val="20"/>
        </w:rPr>
        <w:t xml:space="preserve">spółki </w:t>
      </w:r>
      <w:r w:rsidR="00B16955" w:rsidRPr="007A3FDC">
        <w:rPr>
          <w:rFonts w:ascii="Verdana" w:hAnsi="Verdana"/>
          <w:sz w:val="20"/>
          <w:szCs w:val="20"/>
        </w:rPr>
        <w:br/>
      </w:r>
      <w:r w:rsidRPr="007A3FDC">
        <w:rPr>
          <w:rFonts w:ascii="Verdana" w:hAnsi="Verdana"/>
          <w:sz w:val="20"/>
          <w:szCs w:val="20"/>
        </w:rPr>
        <w:t xml:space="preserve">o najniższym średnim </w:t>
      </w:r>
      <w:proofErr w:type="spellStart"/>
      <w:r w:rsidRPr="007A3FDC">
        <w:rPr>
          <w:rFonts w:ascii="Verdana" w:hAnsi="Verdana"/>
          <w:sz w:val="20"/>
          <w:szCs w:val="20"/>
        </w:rPr>
        <w:t>spreadzie</w:t>
      </w:r>
      <w:proofErr w:type="spellEnd"/>
      <w:r w:rsidRPr="007A3FDC">
        <w:rPr>
          <w:rFonts w:ascii="Verdana" w:hAnsi="Verdana"/>
          <w:sz w:val="20"/>
          <w:szCs w:val="20"/>
        </w:rPr>
        <w:t xml:space="preserve"> i najwyższej średniej liczbie transakcji</w:t>
      </w:r>
      <w:r w:rsidR="00B16955" w:rsidRPr="007A3FDC">
        <w:rPr>
          <w:rFonts w:ascii="Verdana" w:hAnsi="Verdana"/>
          <w:sz w:val="20"/>
          <w:szCs w:val="20"/>
        </w:rPr>
        <w:t xml:space="preserve">, </w:t>
      </w:r>
      <w:r w:rsidR="00B16955" w:rsidRPr="007A3FDC">
        <w:rPr>
          <w:rFonts w:ascii="Verdana" w:hAnsi="Verdana"/>
          <w:sz w:val="20"/>
          <w:szCs w:val="20"/>
        </w:rPr>
        <w:br/>
        <w:t>o których mowa w ust. 3</w:t>
      </w:r>
      <w:r w:rsidR="00DA7AEF" w:rsidRPr="007A3FDC">
        <w:rPr>
          <w:rFonts w:ascii="Verdana" w:hAnsi="Verdana"/>
          <w:sz w:val="20"/>
          <w:szCs w:val="20"/>
        </w:rPr>
        <w:t xml:space="preserve">. </w:t>
      </w:r>
    </w:p>
    <w:p w:rsidR="00DA7AEF" w:rsidRPr="007A3FDC" w:rsidRDefault="00DA7AEF" w:rsidP="00B16955">
      <w:pPr>
        <w:numPr>
          <w:ilvl w:val="0"/>
          <w:numId w:val="45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7A3FDC">
        <w:rPr>
          <w:rFonts w:ascii="Verdana" w:hAnsi="Verdana"/>
          <w:sz w:val="20"/>
          <w:szCs w:val="20"/>
        </w:rPr>
        <w:t xml:space="preserve"> W skład portfela </w:t>
      </w:r>
      <w:r w:rsidR="00B16955" w:rsidRPr="007A3FDC">
        <w:rPr>
          <w:rFonts w:ascii="Verdana" w:hAnsi="Verdana"/>
          <w:sz w:val="20"/>
          <w:szCs w:val="20"/>
        </w:rPr>
        <w:t xml:space="preserve">danego </w:t>
      </w:r>
      <w:r w:rsidRPr="007A3FDC">
        <w:rPr>
          <w:rFonts w:ascii="Verdana" w:hAnsi="Verdana"/>
          <w:sz w:val="20"/>
          <w:szCs w:val="20"/>
        </w:rPr>
        <w:t xml:space="preserve">indeksu </w:t>
      </w:r>
      <w:proofErr w:type="spellStart"/>
      <w:r w:rsidR="00B16955" w:rsidRPr="007A3FDC">
        <w:rPr>
          <w:rFonts w:ascii="Verdana" w:hAnsi="Verdana"/>
          <w:sz w:val="20"/>
          <w:szCs w:val="20"/>
        </w:rPr>
        <w:t>makrosektorowego</w:t>
      </w:r>
      <w:proofErr w:type="spellEnd"/>
      <w:r w:rsidR="00B16955" w:rsidRPr="007A3FDC">
        <w:rPr>
          <w:rFonts w:ascii="Verdana" w:hAnsi="Verdana"/>
          <w:sz w:val="20"/>
          <w:szCs w:val="20"/>
        </w:rPr>
        <w:t xml:space="preserve"> </w:t>
      </w:r>
      <w:r w:rsidRPr="007A3FDC">
        <w:rPr>
          <w:rFonts w:ascii="Verdana" w:hAnsi="Verdana"/>
          <w:sz w:val="20"/>
          <w:szCs w:val="20"/>
        </w:rPr>
        <w:t xml:space="preserve">wchodzą spółki, które zajęły najwyższe pozycje w rankingu </w:t>
      </w:r>
      <w:r w:rsidR="00B16955" w:rsidRPr="007A3FDC">
        <w:rPr>
          <w:rFonts w:ascii="Verdana" w:hAnsi="Verdana"/>
          <w:sz w:val="20"/>
          <w:szCs w:val="20"/>
        </w:rPr>
        <w:t>tego</w:t>
      </w:r>
      <w:r w:rsidRPr="007A3FDC">
        <w:rPr>
          <w:rFonts w:ascii="Verdana" w:hAnsi="Verdana"/>
          <w:sz w:val="20"/>
          <w:szCs w:val="20"/>
        </w:rPr>
        <w:t xml:space="preserve"> indeksu.</w:t>
      </w:r>
    </w:p>
    <w:p w:rsidR="00DA7AEF" w:rsidRPr="007A3FDC" w:rsidRDefault="00DA7AEF" w:rsidP="00B16955">
      <w:pPr>
        <w:numPr>
          <w:ilvl w:val="0"/>
          <w:numId w:val="45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7A3FDC">
        <w:rPr>
          <w:rFonts w:ascii="Verdana" w:hAnsi="Verdana"/>
          <w:sz w:val="20"/>
          <w:szCs w:val="20"/>
        </w:rPr>
        <w:t xml:space="preserve">W przypadku identycznej liczby punktów w rankingu dla dwóch lub większej liczby spółek, w skład portfela indeksu wchodzi spółka, której akcjami, </w:t>
      </w:r>
      <w:r w:rsidR="00B16955" w:rsidRPr="007A3FDC">
        <w:rPr>
          <w:rFonts w:ascii="Verdana" w:hAnsi="Verdana"/>
          <w:sz w:val="20"/>
          <w:szCs w:val="20"/>
        </w:rPr>
        <w:br/>
      </w:r>
      <w:r w:rsidRPr="007A3FDC">
        <w:rPr>
          <w:rFonts w:ascii="Verdana" w:hAnsi="Verdana"/>
          <w:sz w:val="20"/>
          <w:szCs w:val="20"/>
        </w:rPr>
        <w:t>w okresie za który sporządzony został ranking, została zawarta największa liczba transakcji giełdowych.</w:t>
      </w:r>
    </w:p>
    <w:p w:rsidR="00DA7AEF" w:rsidRPr="007A3FDC" w:rsidRDefault="00DA7AEF" w:rsidP="00B16955">
      <w:pPr>
        <w:numPr>
          <w:ilvl w:val="0"/>
          <w:numId w:val="45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7A3FDC">
        <w:rPr>
          <w:rFonts w:ascii="Verdana" w:hAnsi="Verdana"/>
          <w:sz w:val="20"/>
          <w:szCs w:val="20"/>
        </w:rPr>
        <w:t xml:space="preserve">Pakiet akcji wchodzący w skład portfela indeksu </w:t>
      </w:r>
      <w:proofErr w:type="spellStart"/>
      <w:r w:rsidRPr="007A3FDC">
        <w:rPr>
          <w:rFonts w:ascii="Verdana" w:hAnsi="Verdana"/>
          <w:sz w:val="20"/>
          <w:szCs w:val="20"/>
        </w:rPr>
        <w:t>makrosektorowego</w:t>
      </w:r>
      <w:proofErr w:type="spellEnd"/>
      <w:r w:rsidRPr="007A3FDC">
        <w:rPr>
          <w:rFonts w:ascii="Verdana" w:hAnsi="Verdana"/>
          <w:sz w:val="20"/>
          <w:szCs w:val="20"/>
        </w:rPr>
        <w:t xml:space="preserve"> wyznaczany jest według stanu na koniec lutego, maja, sierpnia i listopada.</w:t>
      </w:r>
    </w:p>
    <w:p w:rsidR="00DA7AEF" w:rsidRPr="007A3FDC" w:rsidRDefault="00DA7AEF" w:rsidP="00B16955">
      <w:pPr>
        <w:numPr>
          <w:ilvl w:val="0"/>
          <w:numId w:val="45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7A3FDC">
        <w:rPr>
          <w:rFonts w:ascii="Verdana" w:hAnsi="Verdana"/>
          <w:sz w:val="20"/>
          <w:szCs w:val="20"/>
        </w:rPr>
        <w:t>Wielkość pakietu akcji jest redukowana proporcjonalnie na dzień rankingu, jeżeli wartość akcji danej spółki znajdująca się w portfelu indeksu przekracza 40% jego wartości.</w:t>
      </w:r>
    </w:p>
    <w:p w:rsidR="00CD594B" w:rsidRPr="007A3FDC" w:rsidRDefault="00CD594B" w:rsidP="00CD594B">
      <w:pPr>
        <w:numPr>
          <w:ilvl w:val="0"/>
          <w:numId w:val="45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7A3FDC">
        <w:rPr>
          <w:rFonts w:ascii="Verdana" w:hAnsi="Verdana"/>
          <w:sz w:val="20"/>
          <w:szCs w:val="20"/>
          <w:lang w:eastAsia="en-US"/>
        </w:rPr>
        <w:t xml:space="preserve">Średni </w:t>
      </w:r>
      <w:proofErr w:type="spellStart"/>
      <w:r w:rsidRPr="007A3FDC">
        <w:rPr>
          <w:rFonts w:ascii="Verdana" w:hAnsi="Verdana"/>
          <w:sz w:val="20"/>
          <w:szCs w:val="20"/>
          <w:lang w:eastAsia="en-US"/>
        </w:rPr>
        <w:t>spread</w:t>
      </w:r>
      <w:proofErr w:type="spellEnd"/>
      <w:r w:rsidRPr="007A3FDC">
        <w:rPr>
          <w:rFonts w:ascii="Verdana" w:hAnsi="Verdana"/>
          <w:sz w:val="20"/>
          <w:szCs w:val="20"/>
          <w:lang w:eastAsia="en-US"/>
        </w:rPr>
        <w:t xml:space="preserve"> ważony wartością obrotów, o którym mowa w ust. 3 i 4, oblicza się zgodnie z następującym wzorem: </w:t>
      </w:r>
    </w:p>
    <w:p w:rsidR="00CD594B" w:rsidRPr="007A3FDC" w:rsidRDefault="00CD594B" w:rsidP="00CD594B">
      <w:pPr>
        <w:spacing w:line="360" w:lineRule="auto"/>
        <w:ind w:left="425"/>
        <w:jc w:val="both"/>
        <w:rPr>
          <w:rFonts w:ascii="Calibri" w:hAnsi="Calibri"/>
          <w:sz w:val="22"/>
          <w:szCs w:val="22"/>
        </w:rPr>
      </w:pPr>
    </w:p>
    <w:p w:rsidR="00CD594B" w:rsidRPr="007A3FDC" w:rsidRDefault="00CD594B" w:rsidP="00CD59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09"/>
        <w:jc w:val="both"/>
        <w:outlineLvl w:val="0"/>
        <w:rPr>
          <w:rFonts w:ascii="Verdana" w:hAnsi="Verdana" w:cs="Arial"/>
          <w:sz w:val="20"/>
          <w:szCs w:val="20"/>
          <w:lang w:val="de-DE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S=</m:t>
          </m:r>
          <m:f>
            <m:fPr>
              <m:ctrlPr>
                <w:rPr>
                  <w:rFonts w:ascii="Cambria Math" w:eastAsiaTheme="minorHAnsi" w:hAnsi="Cambria Math" w:cstheme="minorBidi"/>
                  <w:i/>
                  <w:sz w:val="22"/>
                  <w:szCs w:val="22"/>
                  <w:lang w:eastAsia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lang w:eastAsia="en-US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HAnsi" w:hAnsi="Cambria Math" w:cstheme="minorBidi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lang w:eastAsia="en-US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HAnsi" w:hAnsi="Cambria Math" w:cstheme="minorBidi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:rsidR="00CD594B" w:rsidRPr="007A3FDC" w:rsidRDefault="00CD594B" w:rsidP="00D52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  <w:r w:rsidRPr="007A3FDC">
        <w:rPr>
          <w:rFonts w:ascii="Verdana" w:hAnsi="Verdana" w:cs="Arial"/>
          <w:sz w:val="20"/>
          <w:szCs w:val="20"/>
          <w:lang w:val="de-DE"/>
        </w:rPr>
        <w:tab/>
        <w:t xml:space="preserve">   </w:t>
      </w:r>
    </w:p>
    <w:p w:rsidR="00CD594B" w:rsidRPr="007A3FDC" w:rsidRDefault="00CD594B" w:rsidP="00CD594B">
      <w:pPr>
        <w:tabs>
          <w:tab w:val="left" w:pos="720"/>
        </w:tabs>
        <w:ind w:left="851" w:hanging="142"/>
        <w:rPr>
          <w:rFonts w:ascii="Verdana" w:eastAsia="Calibri" w:hAnsi="Verdana" w:cs="Arial"/>
          <w:i/>
          <w:sz w:val="20"/>
          <w:szCs w:val="22"/>
          <w:lang w:val="de-DE" w:eastAsia="en-US"/>
        </w:rPr>
      </w:pPr>
      <w:proofErr w:type="spellStart"/>
      <w:r w:rsidRPr="007A3FDC">
        <w:rPr>
          <w:rFonts w:ascii="Verdana" w:eastAsia="Calibri" w:hAnsi="Verdana" w:cs="Arial"/>
          <w:i/>
          <w:sz w:val="20"/>
          <w:szCs w:val="22"/>
          <w:lang w:val="de-DE" w:eastAsia="en-US"/>
        </w:rPr>
        <w:t>gdzie</w:t>
      </w:r>
      <w:proofErr w:type="spellEnd"/>
      <w:r w:rsidRPr="007A3FDC">
        <w:rPr>
          <w:rFonts w:ascii="Verdana" w:eastAsia="Calibri" w:hAnsi="Verdana" w:cs="Arial"/>
          <w:i/>
          <w:sz w:val="20"/>
          <w:szCs w:val="22"/>
          <w:lang w:val="de-DE" w:eastAsia="en-US"/>
        </w:rPr>
        <w:t>:</w:t>
      </w:r>
    </w:p>
    <w:p w:rsidR="00CD594B" w:rsidRPr="007A3FDC" w:rsidRDefault="00CD594B" w:rsidP="00CD594B">
      <w:pPr>
        <w:tabs>
          <w:tab w:val="left" w:pos="720"/>
        </w:tabs>
        <w:rPr>
          <w:rFonts w:ascii="Verdana" w:eastAsia="Calibri" w:hAnsi="Verdana" w:cs="Arial"/>
          <w:i/>
          <w:sz w:val="20"/>
          <w:szCs w:val="22"/>
          <w:lang w:val="de-DE" w:eastAsia="en-US"/>
        </w:rPr>
      </w:pPr>
    </w:p>
    <w:p w:rsidR="00CD594B" w:rsidRPr="007A3FDC" w:rsidRDefault="00CD594B" w:rsidP="00CD594B">
      <w:pPr>
        <w:tabs>
          <w:tab w:val="left" w:pos="720"/>
        </w:tabs>
        <w:rPr>
          <w:rFonts w:ascii="Verdana" w:eastAsia="Calibri" w:hAnsi="Verdana" w:cs="Arial"/>
          <w:i/>
          <w:sz w:val="20"/>
          <w:szCs w:val="22"/>
          <w:lang w:val="de-DE" w:eastAsia="en-US"/>
        </w:rPr>
      </w:pPr>
    </w:p>
    <w:p w:rsidR="00CD594B" w:rsidRPr="007A3FDC" w:rsidRDefault="00625668" w:rsidP="00CD594B">
      <w:pPr>
        <w:tabs>
          <w:tab w:val="left" w:pos="720"/>
        </w:tabs>
        <w:ind w:left="709"/>
        <w:rPr>
          <w:rFonts w:ascii="Verdana" w:eastAsia="Calibri" w:hAnsi="Verdana" w:cs="Arial"/>
          <w:i/>
          <w:sz w:val="20"/>
          <w:szCs w:val="22"/>
          <w:lang w:val="de-DE"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Arial"/>
                  <w:i/>
                  <w:sz w:val="20"/>
                  <w:szCs w:val="22"/>
                  <w:lang w:val="de-DE" w:eastAsia="en-US"/>
                </w:rPr>
              </m:ctrlPr>
            </m:sSubPr>
            <m:e>
              <m:r>
                <w:rPr>
                  <w:rFonts w:ascii="Cambria Math" w:eastAsia="Calibri" w:hAnsi="Cambria Math" w:cs="Arial"/>
                  <w:sz w:val="20"/>
                  <w:szCs w:val="22"/>
                  <w:lang w:val="de-DE" w:eastAsia="en-US"/>
                </w:rPr>
                <m:t>S</m:t>
              </m:r>
            </m:e>
            <m:sub>
              <m:r>
                <w:rPr>
                  <w:rFonts w:ascii="Cambria Math" w:eastAsia="Calibri" w:hAnsi="Cambria Math" w:cs="Arial"/>
                  <w:sz w:val="20"/>
                  <w:szCs w:val="22"/>
                  <w:lang w:val="de-DE" w:eastAsia="en-US"/>
                </w:rPr>
                <m:t>i</m:t>
              </m:r>
            </m:sub>
          </m:sSub>
          <m:r>
            <w:rPr>
              <w:rFonts w:ascii="Cambria Math" w:eastAsia="Calibri" w:hAnsi="Cambria Math" w:cs="Arial"/>
              <w:sz w:val="20"/>
              <w:szCs w:val="22"/>
              <w:lang w:val="de-DE" w:eastAsia="en-US"/>
            </w:rPr>
            <m:t>=20000*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="Arial"/>
                  <w:i/>
                  <w:sz w:val="20"/>
                  <w:szCs w:val="22"/>
                  <w:lang w:val="de-DE" w:eastAsia="en-US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2"/>
                      <w:lang w:val="de-DE"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0"/>
                      <w:szCs w:val="22"/>
                      <w:lang w:val="de-DE" w:eastAsia="en-US"/>
                    </w:rPr>
                    <m:t>k</m:t>
                  </m:r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2"/>
                          <w:lang w:val="de-DE" w:eastAsia="en-US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  <w:sz w:val="20"/>
                          <w:szCs w:val="22"/>
                          <w:lang w:val="de-DE" w:eastAsia="en-US"/>
                        </w:rPr>
                        <m:t>b</m:t>
                      </m:r>
                    </m:e>
                  </m:d>
                  <m:r>
                    <w:rPr>
                      <w:rFonts w:ascii="Cambria Math" w:eastAsia="Calibri" w:hAnsi="Cambria Math" w:cs="Arial"/>
                      <w:sz w:val="20"/>
                      <w:szCs w:val="22"/>
                      <w:lang w:val="de-DE" w:eastAsia="en-US"/>
                    </w:rPr>
                    <m:t>-</m:t>
                  </m:r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2"/>
                          <w:lang w:val="de-DE"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2"/>
                              <w:lang w:val="de-DE"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2"/>
                              <w:lang w:val="de-DE" w:eastAsia="en-US"/>
                            </w:rPr>
                            <m:t>k+s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2"/>
                              <w:lang w:val="de-DE" w:eastAsia="en-US"/>
                            </w:rPr>
                            <m:t>2</m:t>
                          </m:r>
                        </m:den>
                      </m:f>
                    </m:e>
                  </m:d>
                </m:num>
                <m:den>
                  <m:f>
                    <m:f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2"/>
                          <w:lang w:val="de-DE" w:eastAsia="en-US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Arial"/>
                          <w:sz w:val="20"/>
                          <w:szCs w:val="22"/>
                          <w:lang w:val="de-DE" w:eastAsia="en-US"/>
                        </w:rPr>
                        <m:t>k+s</m:t>
                      </m:r>
                    </m:num>
                    <m:den>
                      <m:r>
                        <w:rPr>
                          <w:rFonts w:ascii="Cambria Math" w:eastAsia="Calibri" w:hAnsi="Cambria Math" w:cs="Arial"/>
                          <w:sz w:val="20"/>
                          <w:szCs w:val="22"/>
                          <w:lang w:val="de-DE" w:eastAsia="en-US"/>
                        </w:rPr>
                        <m:t>2</m:t>
                      </m:r>
                    </m:den>
                  </m:f>
                </m:den>
              </m:f>
            </m:e>
          </m:d>
        </m:oMath>
      </m:oMathPara>
    </w:p>
    <w:p w:rsidR="00CD594B" w:rsidRPr="007A3FDC" w:rsidRDefault="00CD594B" w:rsidP="00CD594B">
      <w:pPr>
        <w:tabs>
          <w:tab w:val="left" w:pos="720"/>
        </w:tabs>
        <w:rPr>
          <w:rFonts w:ascii="Verdana" w:eastAsia="Calibri" w:hAnsi="Verdana" w:cs="Arial"/>
          <w:i/>
          <w:sz w:val="20"/>
          <w:szCs w:val="22"/>
          <w:lang w:val="de-DE" w:eastAsia="en-US"/>
        </w:rPr>
      </w:pPr>
    </w:p>
    <w:p w:rsidR="00CD594B" w:rsidRPr="007A3FDC" w:rsidRDefault="00CD594B" w:rsidP="00CD594B">
      <w:pPr>
        <w:tabs>
          <w:tab w:val="left" w:pos="720"/>
        </w:tabs>
        <w:rPr>
          <w:rFonts w:ascii="Calibri" w:eastAsia="Calibri" w:hAnsi="Calibri"/>
          <w:sz w:val="22"/>
          <w:szCs w:val="22"/>
          <w:lang w:eastAsia="en-US"/>
        </w:rPr>
      </w:pPr>
      <w:r w:rsidRPr="007A3FDC">
        <w:rPr>
          <w:rFonts w:ascii="Calibri" w:eastAsia="Calibri" w:hAnsi="Calibri"/>
          <w:i/>
          <w:sz w:val="22"/>
          <w:szCs w:val="22"/>
          <w:lang w:eastAsia="en-US"/>
        </w:rPr>
        <w:tab/>
      </w:r>
      <w:r w:rsidRPr="007A3FDC">
        <w:rPr>
          <w:rFonts w:ascii="Calibri" w:eastAsia="Calibri" w:hAnsi="Calibri"/>
          <w:i/>
          <w:sz w:val="22"/>
          <w:szCs w:val="22"/>
          <w:lang w:eastAsia="en-US"/>
        </w:rPr>
        <w:tab/>
      </w:r>
      <w:r w:rsidRPr="007A3FDC">
        <w:rPr>
          <w:rFonts w:ascii="Calibri" w:eastAsia="Calibri" w:hAnsi="Calibri"/>
          <w:i/>
          <w:sz w:val="22"/>
          <w:szCs w:val="22"/>
          <w:lang w:eastAsia="en-US"/>
        </w:rPr>
        <w:tab/>
      </w:r>
    </w:p>
    <w:p w:rsidR="00CD594B" w:rsidRPr="007A3FDC" w:rsidRDefault="00CD594B" w:rsidP="00CD594B">
      <w:pPr>
        <w:tabs>
          <w:tab w:val="left" w:pos="709"/>
        </w:tabs>
        <w:spacing w:after="120"/>
        <w:ind w:left="709"/>
        <w:rPr>
          <w:rFonts w:ascii="Verdana" w:eastAsia="Calibri" w:hAnsi="Verdana" w:cs="Consolas"/>
          <w:i/>
          <w:sz w:val="18"/>
          <w:szCs w:val="18"/>
          <w:lang w:eastAsia="en-US"/>
        </w:rPr>
      </w:pPr>
      <w:proofErr w:type="spellStart"/>
      <w:r w:rsidRPr="007A3FDC">
        <w:rPr>
          <w:rFonts w:ascii="Verdana" w:eastAsia="Calibri" w:hAnsi="Verdana" w:cs="Consolas"/>
          <w:i/>
          <w:sz w:val="18"/>
          <w:szCs w:val="18"/>
          <w:lang w:eastAsia="en-US"/>
        </w:rPr>
        <w:t>O</w:t>
      </w:r>
      <w:r w:rsidRPr="007A3FDC">
        <w:rPr>
          <w:rFonts w:ascii="Verdana" w:eastAsia="Calibri" w:hAnsi="Verdana" w:cs="Consolas"/>
          <w:i/>
          <w:sz w:val="18"/>
          <w:szCs w:val="18"/>
          <w:vertAlign w:val="subscript"/>
          <w:lang w:eastAsia="en-US"/>
        </w:rPr>
        <w:t>i</w:t>
      </w:r>
      <w:proofErr w:type="spellEnd"/>
      <w:r w:rsidRPr="007A3FDC">
        <w:rPr>
          <w:rFonts w:ascii="Verdana" w:eastAsia="Calibri" w:hAnsi="Verdana" w:cs="Consolas"/>
          <w:i/>
          <w:sz w:val="18"/>
          <w:szCs w:val="18"/>
          <w:vertAlign w:val="subscript"/>
          <w:lang w:eastAsia="en-US"/>
        </w:rPr>
        <w:t xml:space="preserve"> </w:t>
      </w:r>
      <w:r w:rsidRPr="007A3FDC">
        <w:rPr>
          <w:rFonts w:ascii="Verdana" w:eastAsia="Calibri" w:hAnsi="Verdana" w:cs="Consolas"/>
          <w:i/>
          <w:sz w:val="18"/>
          <w:szCs w:val="18"/>
          <w:lang w:eastAsia="en-US"/>
        </w:rPr>
        <w:t>– wartość i-tej transakcji</w:t>
      </w:r>
    </w:p>
    <w:p w:rsidR="00CD594B" w:rsidRPr="007A3FDC" w:rsidRDefault="00CD594B" w:rsidP="00CD594B">
      <w:pPr>
        <w:tabs>
          <w:tab w:val="left" w:pos="709"/>
        </w:tabs>
        <w:spacing w:after="120"/>
        <w:ind w:left="709"/>
        <w:rPr>
          <w:rFonts w:ascii="Verdana" w:eastAsia="Calibri" w:hAnsi="Verdana" w:cs="Consolas"/>
          <w:i/>
          <w:sz w:val="18"/>
          <w:szCs w:val="18"/>
          <w:lang w:eastAsia="en-US"/>
        </w:rPr>
      </w:pPr>
      <w:r w:rsidRPr="007A3FDC">
        <w:rPr>
          <w:rFonts w:ascii="Verdana" w:eastAsia="Calibri" w:hAnsi="Verdana" w:cs="Consolas"/>
          <w:i/>
          <w:sz w:val="18"/>
          <w:szCs w:val="18"/>
          <w:lang w:eastAsia="en-US"/>
        </w:rPr>
        <w:t xml:space="preserve">k(b) – kurs bieżący i-tej transakcji </w:t>
      </w:r>
    </w:p>
    <w:p w:rsidR="00CD594B" w:rsidRPr="007A3FDC" w:rsidRDefault="00CD594B" w:rsidP="00CD594B">
      <w:pPr>
        <w:tabs>
          <w:tab w:val="left" w:pos="709"/>
        </w:tabs>
        <w:spacing w:after="120"/>
        <w:ind w:left="709"/>
        <w:rPr>
          <w:rFonts w:ascii="Verdana" w:eastAsia="Calibri" w:hAnsi="Verdana" w:cs="Consolas"/>
          <w:i/>
          <w:sz w:val="18"/>
          <w:szCs w:val="18"/>
          <w:lang w:eastAsia="en-US"/>
        </w:rPr>
      </w:pPr>
      <w:r w:rsidRPr="007A3FDC">
        <w:rPr>
          <w:rFonts w:ascii="Verdana" w:eastAsia="Calibri" w:hAnsi="Verdana" w:cs="Consolas"/>
          <w:i/>
          <w:sz w:val="18"/>
          <w:szCs w:val="18"/>
          <w:lang w:eastAsia="en-US"/>
        </w:rPr>
        <w:lastRenderedPageBreak/>
        <w:t>k – najlepsza oferta kupna przed zawarciem i-tej transakcji</w:t>
      </w:r>
    </w:p>
    <w:p w:rsidR="00CD594B" w:rsidRPr="007A3FDC" w:rsidRDefault="00CD594B" w:rsidP="007232A9">
      <w:pPr>
        <w:tabs>
          <w:tab w:val="left" w:pos="709"/>
        </w:tabs>
        <w:ind w:left="709"/>
        <w:rPr>
          <w:rFonts w:ascii="Verdana" w:hAnsi="Verdana"/>
          <w:sz w:val="20"/>
          <w:szCs w:val="20"/>
        </w:rPr>
      </w:pPr>
      <w:r w:rsidRPr="007A3FDC">
        <w:rPr>
          <w:rFonts w:ascii="Verdana" w:eastAsia="Calibri" w:hAnsi="Verdana" w:cs="Consolas"/>
          <w:i/>
          <w:sz w:val="18"/>
          <w:szCs w:val="18"/>
          <w:lang w:eastAsia="en-US"/>
        </w:rPr>
        <w:t>s – najlepsza oferta sprzedaży przed zawarciem i–tej transakcji</w:t>
      </w:r>
      <w:r w:rsidR="00D5296B">
        <w:rPr>
          <w:rFonts w:ascii="Verdana" w:eastAsia="Calibri" w:hAnsi="Verdana" w:cs="Consolas"/>
          <w:i/>
          <w:sz w:val="18"/>
          <w:szCs w:val="18"/>
          <w:lang w:eastAsia="en-US"/>
        </w:rPr>
        <w:t>.</w:t>
      </w:r>
      <w:r w:rsidRPr="007A3FDC">
        <w:rPr>
          <w:rFonts w:ascii="Verdana" w:eastAsia="Calibri" w:hAnsi="Verdana" w:cs="Consolas"/>
          <w:i/>
          <w:sz w:val="18"/>
          <w:szCs w:val="18"/>
          <w:lang w:eastAsia="en-US"/>
        </w:rPr>
        <w:br/>
      </w:r>
      <w:r w:rsidRPr="007A3FDC">
        <w:rPr>
          <w:rFonts w:ascii="Verdana" w:eastAsia="Calibri" w:hAnsi="Verdana" w:cs="Consolas"/>
          <w:i/>
          <w:sz w:val="20"/>
          <w:szCs w:val="20"/>
          <w:lang w:eastAsia="en-US"/>
        </w:rPr>
        <w:br/>
      </w:r>
    </w:p>
    <w:p w:rsidR="00DA7AEF" w:rsidRPr="007A3FDC" w:rsidRDefault="00DA7AEF" w:rsidP="00D529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>§ 45</w:t>
      </w:r>
    </w:p>
    <w:p w:rsidR="00DA7AEF" w:rsidRPr="007A3FDC" w:rsidRDefault="00DA7AEF" w:rsidP="004C7C16">
      <w:pPr>
        <w:numPr>
          <w:ilvl w:val="0"/>
          <w:numId w:val="4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80"/>
          <w:tab w:val="left" w:pos="8222"/>
        </w:tabs>
        <w:spacing w:after="120" w:line="360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 xml:space="preserve">W przypadku zawieszenia obrotu akcjami danej spółki na żądanie Komisji Nadzoru Finansowego może zostać przeprowadzona nadzwyczajna korekta uczestników indeksów </w:t>
      </w:r>
      <w:proofErr w:type="spellStart"/>
      <w:r w:rsidRPr="007A3FDC">
        <w:rPr>
          <w:rFonts w:ascii="Verdana" w:hAnsi="Verdana" w:cs="Arial"/>
          <w:sz w:val="20"/>
          <w:szCs w:val="20"/>
        </w:rPr>
        <w:t>makrosektorowych</w:t>
      </w:r>
      <w:proofErr w:type="spellEnd"/>
      <w:r w:rsidRPr="007A3FDC">
        <w:rPr>
          <w:rFonts w:ascii="Verdana" w:hAnsi="Verdana" w:cs="Arial"/>
          <w:sz w:val="20"/>
          <w:szCs w:val="20"/>
        </w:rPr>
        <w:t>.</w:t>
      </w:r>
    </w:p>
    <w:p w:rsidR="00DA7AEF" w:rsidRPr="007A3FDC" w:rsidRDefault="00DA7AEF" w:rsidP="004C7C16">
      <w:pPr>
        <w:numPr>
          <w:ilvl w:val="0"/>
          <w:numId w:val="4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080"/>
          <w:tab w:val="left" w:pos="8222"/>
          <w:tab w:val="left" w:pos="8361"/>
          <w:tab w:val="left" w:pos="9000"/>
        </w:tabs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>W przypadku zawieszenia obrotu, o którym mowa w ust. 1, dana spółka może zostać niezwłocznie skreślona z listy uczestników indeksu, bez jej zastępowania inną spółką, z zastrzeżeniem ust. 3 i 4.</w:t>
      </w:r>
    </w:p>
    <w:p w:rsidR="00DA7AEF" w:rsidRPr="007A3FDC" w:rsidRDefault="00DA7AEF" w:rsidP="004C7C16">
      <w:pPr>
        <w:numPr>
          <w:ilvl w:val="0"/>
          <w:numId w:val="4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080"/>
          <w:tab w:val="left" w:pos="9000"/>
        </w:tabs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>Jeżeli przed upływem 10 dni sesyjnych zawieszenia obrotu, o którym mowa w ust. 1, nastąpi wznowienie obrotu akcjami spółki skreślonej z listy uczestników indeksu spółka ta podlega niezwłocznie ponownemu wpisaniu na tę listę.</w:t>
      </w:r>
    </w:p>
    <w:p w:rsidR="00DA7AEF" w:rsidRPr="007A3FDC" w:rsidRDefault="00DA7AEF" w:rsidP="004C7C16">
      <w:pPr>
        <w:numPr>
          <w:ilvl w:val="0"/>
          <w:numId w:val="4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938"/>
          <w:tab w:val="left" w:pos="8080"/>
          <w:tab w:val="left" w:pos="8222"/>
          <w:tab w:val="left" w:pos="9000"/>
        </w:tabs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>Po upływie 10 dni sesyjnych zawieszenia obrotu, o którym mowa w ust. 1, miejsce spółki skreślonej z listy uczestników indeksu zajmuje niezwłocznie spółka, która znalazła się w ostatnim rankingu indeksu na najwyższej pozycji, ale nie została do tego indeksu zakwalifikowana.</w:t>
      </w:r>
    </w:p>
    <w:p w:rsidR="00DA7AEF" w:rsidRPr="007A3FDC" w:rsidRDefault="00DA7AEF" w:rsidP="00B1695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ind w:left="785" w:hanging="785"/>
        <w:jc w:val="center"/>
        <w:outlineLvl w:val="0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>§ 46</w:t>
      </w:r>
    </w:p>
    <w:p w:rsidR="00DA7AEF" w:rsidRPr="007A3FDC" w:rsidRDefault="00DA7AEF" w:rsidP="004C7C16">
      <w:pPr>
        <w:numPr>
          <w:ilvl w:val="0"/>
          <w:numId w:val="4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spacing w:after="120" w:line="360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 xml:space="preserve">W szczególnych przypadkach może zostać przeprowadzona nadzwyczajna korekta uczestników indeksu w celu skreślenia spółki z listy uczestników indeksu </w:t>
      </w:r>
      <w:proofErr w:type="spellStart"/>
      <w:r w:rsidRPr="007A3FDC">
        <w:rPr>
          <w:rFonts w:ascii="Verdana" w:hAnsi="Verdana" w:cs="Arial"/>
          <w:sz w:val="20"/>
          <w:szCs w:val="20"/>
        </w:rPr>
        <w:t>makrosektorowego</w:t>
      </w:r>
      <w:proofErr w:type="spellEnd"/>
      <w:r w:rsidRPr="007A3FDC">
        <w:rPr>
          <w:rFonts w:ascii="Verdana" w:hAnsi="Verdana" w:cs="Arial"/>
          <w:sz w:val="20"/>
          <w:szCs w:val="20"/>
        </w:rPr>
        <w:t>.</w:t>
      </w:r>
    </w:p>
    <w:p w:rsidR="00F91E46" w:rsidRPr="007A3FDC" w:rsidRDefault="00DA7AEF" w:rsidP="000912A1">
      <w:pPr>
        <w:numPr>
          <w:ilvl w:val="0"/>
          <w:numId w:val="47"/>
        </w:num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080"/>
          <w:tab w:val="left" w:pos="8222"/>
          <w:tab w:val="left" w:pos="9000"/>
        </w:tabs>
        <w:spacing w:after="120" w:line="360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 xml:space="preserve">W przypadku dokonania korekty nadzwyczajnej miejsce spółki skreślonej </w:t>
      </w:r>
      <w:r w:rsidR="004922AC" w:rsidRPr="007A3FDC">
        <w:rPr>
          <w:rFonts w:ascii="Verdana" w:hAnsi="Verdana" w:cs="Arial"/>
          <w:sz w:val="20"/>
          <w:szCs w:val="20"/>
        </w:rPr>
        <w:br/>
      </w:r>
      <w:r w:rsidRPr="007A3FDC">
        <w:rPr>
          <w:rFonts w:ascii="Verdana" w:hAnsi="Verdana" w:cs="Arial"/>
          <w:sz w:val="20"/>
          <w:szCs w:val="20"/>
        </w:rPr>
        <w:t>z listy uczestników indeksu zajmuje spółka, która znalazła się w ostatnim rankingu indeksu na najwyższej pozycji, ale nie została do tego indeksu zakwalifikowana.</w:t>
      </w:r>
      <w:r w:rsidR="00B16955" w:rsidRPr="007A3FDC">
        <w:rPr>
          <w:rFonts w:ascii="Verdana" w:hAnsi="Verdana" w:cs="Arial"/>
          <w:sz w:val="20"/>
          <w:szCs w:val="20"/>
        </w:rPr>
        <w:t xml:space="preserve">”. </w:t>
      </w:r>
    </w:p>
    <w:p w:rsidR="003B61BE" w:rsidRPr="007A3FDC" w:rsidRDefault="003B61BE" w:rsidP="00B16955">
      <w:pPr>
        <w:spacing w:after="120" w:line="360" w:lineRule="auto"/>
        <w:ind w:left="-142" w:right="-1"/>
        <w:jc w:val="center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 xml:space="preserve">§ </w:t>
      </w:r>
      <w:r w:rsidR="00FD485C" w:rsidRPr="007A3FDC">
        <w:rPr>
          <w:rFonts w:ascii="Verdana" w:hAnsi="Verdana" w:cs="Arial"/>
          <w:sz w:val="20"/>
          <w:szCs w:val="20"/>
        </w:rPr>
        <w:t>2</w:t>
      </w:r>
    </w:p>
    <w:p w:rsidR="00F46B16" w:rsidRPr="007A3FDC" w:rsidRDefault="00F46B16" w:rsidP="00B16955">
      <w:pPr>
        <w:spacing w:after="240" w:line="360" w:lineRule="auto"/>
        <w:ind w:left="-142" w:right="-1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 xml:space="preserve">Tekst jednolity „Szczegółowych zasad konstrukcji i podawania do publicznej wiadomości indeksów i </w:t>
      </w:r>
      <w:proofErr w:type="spellStart"/>
      <w:r w:rsidRPr="007A3FDC">
        <w:rPr>
          <w:rFonts w:ascii="Verdana" w:hAnsi="Verdana" w:cs="Arial"/>
          <w:sz w:val="20"/>
          <w:szCs w:val="20"/>
        </w:rPr>
        <w:t>subindeksów</w:t>
      </w:r>
      <w:proofErr w:type="spellEnd"/>
      <w:r w:rsidRPr="007A3FDC">
        <w:rPr>
          <w:rFonts w:ascii="Verdana" w:hAnsi="Verdana" w:cs="Arial"/>
          <w:sz w:val="20"/>
          <w:szCs w:val="20"/>
        </w:rPr>
        <w:t xml:space="preserve"> giełdowych” uwzględniający </w:t>
      </w:r>
      <w:r w:rsidR="00DD6F41" w:rsidRPr="007A3FDC">
        <w:rPr>
          <w:rFonts w:ascii="Verdana" w:hAnsi="Verdana" w:cs="Arial"/>
          <w:sz w:val="20"/>
          <w:szCs w:val="20"/>
        </w:rPr>
        <w:t>zmian</w:t>
      </w:r>
      <w:r w:rsidR="003946F0" w:rsidRPr="007A3FDC">
        <w:rPr>
          <w:rFonts w:ascii="Verdana" w:hAnsi="Verdana" w:cs="Arial"/>
          <w:sz w:val="20"/>
          <w:szCs w:val="20"/>
        </w:rPr>
        <w:t>y, o których</w:t>
      </w:r>
      <w:r w:rsidR="00417F99" w:rsidRPr="007A3FDC">
        <w:rPr>
          <w:rFonts w:ascii="Verdana" w:hAnsi="Verdana" w:cs="Arial"/>
          <w:sz w:val="20"/>
          <w:szCs w:val="20"/>
        </w:rPr>
        <w:t xml:space="preserve"> mowa w § 1</w:t>
      </w:r>
      <w:r w:rsidRPr="007A3FDC">
        <w:rPr>
          <w:rFonts w:ascii="Verdana" w:hAnsi="Verdana" w:cs="Arial"/>
          <w:sz w:val="20"/>
          <w:szCs w:val="20"/>
        </w:rPr>
        <w:t xml:space="preserve">, stanowi </w:t>
      </w:r>
      <w:r w:rsidR="005971F3" w:rsidRPr="007A3FDC">
        <w:rPr>
          <w:rFonts w:ascii="Verdana" w:hAnsi="Verdana" w:cs="Arial"/>
          <w:sz w:val="20"/>
          <w:szCs w:val="20"/>
        </w:rPr>
        <w:t>z</w:t>
      </w:r>
      <w:r w:rsidRPr="007A3FDC">
        <w:rPr>
          <w:rFonts w:ascii="Verdana" w:hAnsi="Verdana" w:cs="Arial"/>
          <w:sz w:val="20"/>
          <w:szCs w:val="20"/>
        </w:rPr>
        <w:t>ałącznik do niniejszej uchwały.</w:t>
      </w:r>
    </w:p>
    <w:p w:rsidR="00F46B16" w:rsidRPr="007A3FDC" w:rsidRDefault="00DD6F41" w:rsidP="00B16955">
      <w:pPr>
        <w:spacing w:after="120" w:line="360" w:lineRule="auto"/>
        <w:ind w:left="-142" w:right="-1"/>
        <w:jc w:val="center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 xml:space="preserve">§ </w:t>
      </w:r>
      <w:r w:rsidR="00FD485C" w:rsidRPr="007A3FDC">
        <w:rPr>
          <w:rFonts w:ascii="Verdana" w:hAnsi="Verdana" w:cs="Arial"/>
          <w:sz w:val="20"/>
          <w:szCs w:val="20"/>
        </w:rPr>
        <w:t>3</w:t>
      </w:r>
    </w:p>
    <w:p w:rsidR="00310382" w:rsidRPr="00380811" w:rsidRDefault="003B61BE" w:rsidP="00A9296A">
      <w:pPr>
        <w:spacing w:after="120" w:line="360" w:lineRule="auto"/>
        <w:ind w:right="-1" w:hanging="142"/>
        <w:jc w:val="both"/>
        <w:rPr>
          <w:rFonts w:ascii="Verdana" w:hAnsi="Verdana" w:cs="Arial"/>
          <w:sz w:val="20"/>
          <w:szCs w:val="20"/>
        </w:rPr>
      </w:pPr>
      <w:r w:rsidRPr="007A3FDC">
        <w:rPr>
          <w:rFonts w:ascii="Verdana" w:hAnsi="Verdana" w:cs="Arial"/>
          <w:sz w:val="20"/>
          <w:szCs w:val="20"/>
        </w:rPr>
        <w:t xml:space="preserve">Uchwała wchodzi w życie z dniem </w:t>
      </w:r>
      <w:r w:rsidR="00136985" w:rsidRPr="007A3FDC">
        <w:rPr>
          <w:rFonts w:ascii="Verdana" w:hAnsi="Verdana" w:cs="Arial"/>
          <w:sz w:val="20"/>
          <w:szCs w:val="20"/>
        </w:rPr>
        <w:t>18</w:t>
      </w:r>
      <w:r w:rsidR="007E44B0" w:rsidRPr="007A3FDC">
        <w:rPr>
          <w:rFonts w:ascii="Verdana" w:hAnsi="Verdana" w:cs="Arial"/>
          <w:sz w:val="20"/>
          <w:szCs w:val="20"/>
        </w:rPr>
        <w:t xml:space="preserve"> </w:t>
      </w:r>
      <w:r w:rsidR="00136985" w:rsidRPr="007A3FDC">
        <w:rPr>
          <w:rFonts w:ascii="Verdana" w:hAnsi="Verdana" w:cs="Arial"/>
          <w:sz w:val="20"/>
          <w:szCs w:val="20"/>
        </w:rPr>
        <w:t>marc</w:t>
      </w:r>
      <w:r w:rsidR="007E44B0" w:rsidRPr="007A3FDC">
        <w:rPr>
          <w:rFonts w:ascii="Verdana" w:hAnsi="Verdana" w:cs="Arial"/>
          <w:sz w:val="20"/>
          <w:szCs w:val="20"/>
        </w:rPr>
        <w:t xml:space="preserve">a </w:t>
      </w:r>
      <w:r w:rsidR="00475625" w:rsidRPr="007A3FDC">
        <w:rPr>
          <w:rFonts w:ascii="Verdana" w:hAnsi="Verdana" w:cs="Arial"/>
          <w:sz w:val="20"/>
          <w:szCs w:val="20"/>
        </w:rPr>
        <w:t>201</w:t>
      </w:r>
      <w:r w:rsidR="00136985" w:rsidRPr="007A3FDC">
        <w:rPr>
          <w:rFonts w:ascii="Verdana" w:hAnsi="Verdana" w:cs="Arial"/>
          <w:sz w:val="20"/>
          <w:szCs w:val="20"/>
        </w:rPr>
        <w:t>9</w:t>
      </w:r>
      <w:r w:rsidR="00417F99" w:rsidRPr="007A3FDC">
        <w:rPr>
          <w:rFonts w:ascii="Verdana" w:hAnsi="Verdana" w:cs="Arial"/>
          <w:sz w:val="20"/>
          <w:szCs w:val="20"/>
        </w:rPr>
        <w:t xml:space="preserve"> r.</w:t>
      </w:r>
    </w:p>
    <w:sectPr w:rsidR="00310382" w:rsidRPr="00380811" w:rsidSect="00860CC1">
      <w:footerReference w:type="default" r:id="rId8"/>
      <w:pgSz w:w="11906" w:h="16838"/>
      <w:pgMar w:top="1701" w:right="1700" w:bottom="1418" w:left="1701" w:header="708" w:footer="4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C86" w:rsidRDefault="003C4C86" w:rsidP="005B54A7">
      <w:r>
        <w:separator/>
      </w:r>
    </w:p>
  </w:endnote>
  <w:endnote w:type="continuationSeparator" w:id="0">
    <w:p w:rsidR="003C4C86" w:rsidRDefault="003C4C86" w:rsidP="005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er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614435765"/>
      <w:docPartObj>
        <w:docPartGallery w:val="Page Numbers (Bottom of Page)"/>
        <w:docPartUnique/>
      </w:docPartObj>
    </w:sdtPr>
    <w:sdtEndPr>
      <w:rPr>
        <w:szCs w:val="24"/>
      </w:rPr>
    </w:sdtEndPr>
    <w:sdtContent>
      <w:p w:rsidR="007D7111" w:rsidRPr="00D10A40" w:rsidRDefault="00D10A40">
        <w:pPr>
          <w:pStyle w:val="Stopka"/>
          <w:jc w:val="center"/>
          <w:rPr>
            <w:sz w:val="20"/>
          </w:rPr>
        </w:pPr>
        <w:r w:rsidRPr="00D10A40">
          <w:rPr>
            <w:sz w:val="20"/>
            <w:szCs w:val="20"/>
          </w:rPr>
          <w:t xml:space="preserve">- </w:t>
        </w:r>
        <w:r w:rsidR="007D7111" w:rsidRPr="00D10A40">
          <w:rPr>
            <w:sz w:val="20"/>
            <w:szCs w:val="20"/>
          </w:rPr>
          <w:fldChar w:fldCharType="begin"/>
        </w:r>
        <w:r w:rsidR="007D7111" w:rsidRPr="00D10A40">
          <w:rPr>
            <w:sz w:val="20"/>
            <w:szCs w:val="20"/>
          </w:rPr>
          <w:instrText>PAGE   \* MERGEFORMAT</w:instrText>
        </w:r>
        <w:r w:rsidR="007D7111" w:rsidRPr="00D10A40">
          <w:rPr>
            <w:sz w:val="20"/>
            <w:szCs w:val="20"/>
          </w:rPr>
          <w:fldChar w:fldCharType="separate"/>
        </w:r>
        <w:r w:rsidR="00625668">
          <w:rPr>
            <w:noProof/>
            <w:sz w:val="20"/>
            <w:szCs w:val="20"/>
          </w:rPr>
          <w:t>4</w:t>
        </w:r>
        <w:r w:rsidR="007D7111" w:rsidRPr="00D10A40">
          <w:rPr>
            <w:sz w:val="20"/>
            <w:szCs w:val="20"/>
          </w:rPr>
          <w:fldChar w:fldCharType="end"/>
        </w:r>
        <w:r w:rsidRPr="00D10A40">
          <w:rPr>
            <w:sz w:val="20"/>
            <w:szCs w:val="20"/>
          </w:rPr>
          <w:t xml:space="preserve"> -</w:t>
        </w:r>
        <w:r w:rsidRPr="00D10A40">
          <w:rPr>
            <w:sz w:val="20"/>
          </w:rPr>
          <w:t xml:space="preserve"> </w:t>
        </w:r>
      </w:p>
    </w:sdtContent>
  </w:sdt>
  <w:p w:rsidR="00E90612" w:rsidRDefault="00E906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C86" w:rsidRDefault="003C4C86" w:rsidP="005B54A7">
      <w:r>
        <w:separator/>
      </w:r>
    </w:p>
  </w:footnote>
  <w:footnote w:type="continuationSeparator" w:id="0">
    <w:p w:rsidR="003C4C86" w:rsidRDefault="003C4C86" w:rsidP="005B5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174C8"/>
    <w:multiLevelType w:val="hybridMultilevel"/>
    <w:tmpl w:val="CA604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F7F71"/>
    <w:multiLevelType w:val="hybridMultilevel"/>
    <w:tmpl w:val="CB6A56DC"/>
    <w:lvl w:ilvl="0" w:tplc="97C254A6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00C2C"/>
    <w:multiLevelType w:val="hybridMultilevel"/>
    <w:tmpl w:val="CCB4B632"/>
    <w:lvl w:ilvl="0" w:tplc="B4A012C8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DE5167"/>
    <w:multiLevelType w:val="hybridMultilevel"/>
    <w:tmpl w:val="D1949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65AFA"/>
    <w:multiLevelType w:val="hybridMultilevel"/>
    <w:tmpl w:val="87A2D634"/>
    <w:lvl w:ilvl="0" w:tplc="3F143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46097"/>
    <w:multiLevelType w:val="hybridMultilevel"/>
    <w:tmpl w:val="64F8DB8A"/>
    <w:lvl w:ilvl="0" w:tplc="F4CE2F8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3BA6E79"/>
    <w:multiLevelType w:val="hybridMultilevel"/>
    <w:tmpl w:val="11EA95D8"/>
    <w:lvl w:ilvl="0" w:tplc="EC4A6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F0E83"/>
    <w:multiLevelType w:val="hybridMultilevel"/>
    <w:tmpl w:val="D4626B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627F6A"/>
    <w:multiLevelType w:val="hybridMultilevel"/>
    <w:tmpl w:val="EE921C68"/>
    <w:lvl w:ilvl="0" w:tplc="697C1FEC">
      <w:start w:val="1"/>
      <w:numFmt w:val="lowerLetter"/>
      <w:lvlText w:val="%1)"/>
      <w:lvlJc w:val="left"/>
      <w:pPr>
        <w:tabs>
          <w:tab w:val="num" w:pos="1077"/>
        </w:tabs>
        <w:ind w:left="1077" w:hanging="340"/>
      </w:pPr>
      <w:rPr>
        <w:rFonts w:ascii="Verdana" w:eastAsia="Times New Roman" w:hAnsi="Verdana" w:cs="Consolas" w:hint="default"/>
      </w:rPr>
    </w:lvl>
    <w:lvl w:ilvl="1" w:tplc="0276E8F0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A81275"/>
    <w:multiLevelType w:val="hybridMultilevel"/>
    <w:tmpl w:val="A3125CFC"/>
    <w:lvl w:ilvl="0" w:tplc="B6FEC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FD440B"/>
    <w:multiLevelType w:val="hybridMultilevel"/>
    <w:tmpl w:val="F5EE403A"/>
    <w:lvl w:ilvl="0" w:tplc="FDF2C74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A860DB6"/>
    <w:multiLevelType w:val="hybridMultilevel"/>
    <w:tmpl w:val="01C05F0E"/>
    <w:lvl w:ilvl="0" w:tplc="9B86D77A">
      <w:start w:val="1"/>
      <w:numFmt w:val="lowerLetter"/>
      <w:lvlText w:val="%1)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D9E4F03"/>
    <w:multiLevelType w:val="hybridMultilevel"/>
    <w:tmpl w:val="2460F58E"/>
    <w:lvl w:ilvl="0" w:tplc="3F143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15B94"/>
    <w:multiLevelType w:val="hybridMultilevel"/>
    <w:tmpl w:val="6CA212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6E13D6"/>
    <w:multiLevelType w:val="hybridMultilevel"/>
    <w:tmpl w:val="D72C2DC6"/>
    <w:lvl w:ilvl="0" w:tplc="968CE612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11135"/>
    <w:multiLevelType w:val="hybridMultilevel"/>
    <w:tmpl w:val="D1949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D4535"/>
    <w:multiLevelType w:val="hybridMultilevel"/>
    <w:tmpl w:val="6284BFC4"/>
    <w:lvl w:ilvl="0" w:tplc="DB6C5578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36ABD"/>
    <w:multiLevelType w:val="hybridMultilevel"/>
    <w:tmpl w:val="C8B4167E"/>
    <w:lvl w:ilvl="0" w:tplc="6332071C">
      <w:start w:val="1"/>
      <w:numFmt w:val="lowerLetter"/>
      <w:lvlText w:val="%1)"/>
      <w:lvlJc w:val="left"/>
      <w:pPr>
        <w:tabs>
          <w:tab w:val="num" w:pos="1077"/>
        </w:tabs>
        <w:ind w:left="1077" w:hanging="340"/>
      </w:pPr>
      <w:rPr>
        <w:rFonts w:ascii="Verdana" w:eastAsia="Times New Roman" w:hAnsi="Verdana" w:cs="Consolas"/>
      </w:rPr>
    </w:lvl>
    <w:lvl w:ilvl="1" w:tplc="0276E8F0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286855"/>
    <w:multiLevelType w:val="hybridMultilevel"/>
    <w:tmpl w:val="42EE3AB6"/>
    <w:lvl w:ilvl="0" w:tplc="572C9B10">
      <w:start w:val="1"/>
      <w:numFmt w:val="lowerLetter"/>
      <w:lvlText w:val="%1)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EFC7FFB"/>
    <w:multiLevelType w:val="hybridMultilevel"/>
    <w:tmpl w:val="0DA6E320"/>
    <w:lvl w:ilvl="0" w:tplc="5DE0B0C6">
      <w:start w:val="1"/>
      <w:numFmt w:val="decimal"/>
      <w:lvlText w:val="%1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466FD"/>
    <w:multiLevelType w:val="hybridMultilevel"/>
    <w:tmpl w:val="AEFED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63391"/>
    <w:multiLevelType w:val="hybridMultilevel"/>
    <w:tmpl w:val="94C6F7B8"/>
    <w:lvl w:ilvl="0" w:tplc="BA70D11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2E45CD"/>
    <w:multiLevelType w:val="hybridMultilevel"/>
    <w:tmpl w:val="4C6E95F4"/>
    <w:lvl w:ilvl="0" w:tplc="2F6E00C8">
      <w:start w:val="1"/>
      <w:numFmt w:val="lowerLetter"/>
      <w:lvlText w:val="%1)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9981586"/>
    <w:multiLevelType w:val="hybridMultilevel"/>
    <w:tmpl w:val="387AFED4"/>
    <w:lvl w:ilvl="0" w:tplc="1C1E193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74A3C"/>
    <w:multiLevelType w:val="hybridMultilevel"/>
    <w:tmpl w:val="79124082"/>
    <w:lvl w:ilvl="0" w:tplc="84E49D4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4BFE0A79"/>
    <w:multiLevelType w:val="hybridMultilevel"/>
    <w:tmpl w:val="72DE43E4"/>
    <w:lvl w:ilvl="0" w:tplc="8B3AB9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CEC2EF1"/>
    <w:multiLevelType w:val="hybridMultilevel"/>
    <w:tmpl w:val="48FC6366"/>
    <w:lvl w:ilvl="0" w:tplc="31DC537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A013D1"/>
    <w:multiLevelType w:val="hybridMultilevel"/>
    <w:tmpl w:val="06F894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A82AB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B4428"/>
    <w:multiLevelType w:val="hybridMultilevel"/>
    <w:tmpl w:val="94C6F7B8"/>
    <w:lvl w:ilvl="0" w:tplc="BA70D11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CB57C4"/>
    <w:multiLevelType w:val="hybridMultilevel"/>
    <w:tmpl w:val="CA604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D41ADA"/>
    <w:multiLevelType w:val="hybridMultilevel"/>
    <w:tmpl w:val="04242C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231F52"/>
    <w:multiLevelType w:val="hybridMultilevel"/>
    <w:tmpl w:val="7CE82F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30581"/>
    <w:multiLevelType w:val="hybridMultilevel"/>
    <w:tmpl w:val="8FEE274A"/>
    <w:lvl w:ilvl="0" w:tplc="A83EF3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BD69C6"/>
    <w:multiLevelType w:val="hybridMultilevel"/>
    <w:tmpl w:val="31AA9B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8515E"/>
    <w:multiLevelType w:val="hybridMultilevel"/>
    <w:tmpl w:val="39468F2C"/>
    <w:lvl w:ilvl="0" w:tplc="7E1C6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711545"/>
    <w:multiLevelType w:val="hybridMultilevel"/>
    <w:tmpl w:val="72DE43E4"/>
    <w:lvl w:ilvl="0" w:tplc="8B3AB9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4BA04DC"/>
    <w:multiLevelType w:val="hybridMultilevel"/>
    <w:tmpl w:val="EE921C68"/>
    <w:lvl w:ilvl="0" w:tplc="697C1FEC">
      <w:start w:val="1"/>
      <w:numFmt w:val="lowerLetter"/>
      <w:lvlText w:val="%1)"/>
      <w:lvlJc w:val="left"/>
      <w:pPr>
        <w:tabs>
          <w:tab w:val="num" w:pos="1077"/>
        </w:tabs>
        <w:ind w:left="1077" w:hanging="340"/>
      </w:pPr>
      <w:rPr>
        <w:rFonts w:ascii="Verdana" w:eastAsia="Times New Roman" w:hAnsi="Verdana" w:cs="Consolas" w:hint="default"/>
      </w:rPr>
    </w:lvl>
    <w:lvl w:ilvl="1" w:tplc="0276E8F0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5629BD"/>
    <w:multiLevelType w:val="hybridMultilevel"/>
    <w:tmpl w:val="161C98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06122"/>
    <w:multiLevelType w:val="hybridMultilevel"/>
    <w:tmpl w:val="D1949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E6877"/>
    <w:multiLevelType w:val="hybridMultilevel"/>
    <w:tmpl w:val="FA6A53A6"/>
    <w:lvl w:ilvl="0" w:tplc="04150017">
      <w:start w:val="1"/>
      <w:numFmt w:val="lowerLetter"/>
      <w:lvlText w:val="%1)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6E2A18D3"/>
    <w:multiLevelType w:val="hybridMultilevel"/>
    <w:tmpl w:val="BA20DC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C40FBB"/>
    <w:multiLevelType w:val="hybridMultilevel"/>
    <w:tmpl w:val="72DE43E4"/>
    <w:lvl w:ilvl="0" w:tplc="8B3AB9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31E0554"/>
    <w:multiLevelType w:val="hybridMultilevel"/>
    <w:tmpl w:val="3566133C"/>
    <w:lvl w:ilvl="0" w:tplc="C1ECEB5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3" w15:restartNumberingAfterBreak="0">
    <w:nsid w:val="75407429"/>
    <w:multiLevelType w:val="hybridMultilevel"/>
    <w:tmpl w:val="417A646E"/>
    <w:lvl w:ilvl="0" w:tplc="3F143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C1F7C"/>
    <w:multiLevelType w:val="hybridMultilevel"/>
    <w:tmpl w:val="0CA8F614"/>
    <w:lvl w:ilvl="0" w:tplc="0268B5E8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CF017E"/>
    <w:multiLevelType w:val="hybridMultilevel"/>
    <w:tmpl w:val="CA604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0"/>
  </w:num>
  <w:num w:numId="3">
    <w:abstractNumId w:val="24"/>
  </w:num>
  <w:num w:numId="4">
    <w:abstractNumId w:val="30"/>
  </w:num>
  <w:num w:numId="5">
    <w:abstractNumId w:val="42"/>
  </w:num>
  <w:num w:numId="6">
    <w:abstractNumId w:val="13"/>
  </w:num>
  <w:num w:numId="7">
    <w:abstractNumId w:val="33"/>
  </w:num>
  <w:num w:numId="8">
    <w:abstractNumId w:val="31"/>
  </w:num>
  <w:num w:numId="9">
    <w:abstractNumId w:val="27"/>
  </w:num>
  <w:num w:numId="10">
    <w:abstractNumId w:val="23"/>
  </w:num>
  <w:num w:numId="11">
    <w:abstractNumId w:val="7"/>
  </w:num>
  <w:num w:numId="12">
    <w:abstractNumId w:val="37"/>
  </w:num>
  <w:num w:numId="13">
    <w:abstractNumId w:val="38"/>
  </w:num>
  <w:num w:numId="14">
    <w:abstractNumId w:val="34"/>
  </w:num>
  <w:num w:numId="15">
    <w:abstractNumId w:val="3"/>
  </w:num>
  <w:num w:numId="16">
    <w:abstractNumId w:val="15"/>
  </w:num>
  <w:num w:numId="17">
    <w:abstractNumId w:val="21"/>
  </w:num>
  <w:num w:numId="18">
    <w:abstractNumId w:val="39"/>
  </w:num>
  <w:num w:numId="19">
    <w:abstractNumId w:val="28"/>
  </w:num>
  <w:num w:numId="20">
    <w:abstractNumId w:val="40"/>
  </w:num>
  <w:num w:numId="21">
    <w:abstractNumId w:val="19"/>
  </w:num>
  <w:num w:numId="22">
    <w:abstractNumId w:val="2"/>
  </w:num>
  <w:num w:numId="23">
    <w:abstractNumId w:val="26"/>
  </w:num>
  <w:num w:numId="24">
    <w:abstractNumId w:val="44"/>
  </w:num>
  <w:num w:numId="25">
    <w:abstractNumId w:val="1"/>
  </w:num>
  <w:num w:numId="26">
    <w:abstractNumId w:val="17"/>
  </w:num>
  <w:num w:numId="27">
    <w:abstractNumId w:val="29"/>
  </w:num>
  <w:num w:numId="28">
    <w:abstractNumId w:val="32"/>
  </w:num>
  <w:num w:numId="29">
    <w:abstractNumId w:val="41"/>
  </w:num>
  <w:num w:numId="30">
    <w:abstractNumId w:val="25"/>
  </w:num>
  <w:num w:numId="31">
    <w:abstractNumId w:val="36"/>
  </w:num>
  <w:num w:numId="32">
    <w:abstractNumId w:val="0"/>
  </w:num>
  <w:num w:numId="33">
    <w:abstractNumId w:val="35"/>
  </w:num>
  <w:num w:numId="34">
    <w:abstractNumId w:val="8"/>
  </w:num>
  <w:num w:numId="35">
    <w:abstractNumId w:val="45"/>
  </w:num>
  <w:num w:numId="36">
    <w:abstractNumId w:val="14"/>
  </w:num>
  <w:num w:numId="37">
    <w:abstractNumId w:val="11"/>
  </w:num>
  <w:num w:numId="38">
    <w:abstractNumId w:val="18"/>
  </w:num>
  <w:num w:numId="39">
    <w:abstractNumId w:val="22"/>
  </w:num>
  <w:num w:numId="40">
    <w:abstractNumId w:val="9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2"/>
  </w:num>
  <w:num w:numId="44">
    <w:abstractNumId w:val="6"/>
  </w:num>
  <w:num w:numId="45">
    <w:abstractNumId w:val="43"/>
  </w:num>
  <w:num w:numId="46">
    <w:abstractNumId w:val="16"/>
  </w:num>
  <w:num w:numId="4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05"/>
    <w:rsid w:val="0000039E"/>
    <w:rsid w:val="00001D10"/>
    <w:rsid w:val="00004522"/>
    <w:rsid w:val="00004A3E"/>
    <w:rsid w:val="00005330"/>
    <w:rsid w:val="00011A8E"/>
    <w:rsid w:val="000166E5"/>
    <w:rsid w:val="000176B5"/>
    <w:rsid w:val="0002122D"/>
    <w:rsid w:val="000246C2"/>
    <w:rsid w:val="000311AC"/>
    <w:rsid w:val="0003171E"/>
    <w:rsid w:val="0003277F"/>
    <w:rsid w:val="000334F3"/>
    <w:rsid w:val="000349E8"/>
    <w:rsid w:val="0003686C"/>
    <w:rsid w:val="000400AA"/>
    <w:rsid w:val="00040174"/>
    <w:rsid w:val="00041B9F"/>
    <w:rsid w:val="00042AEB"/>
    <w:rsid w:val="00052758"/>
    <w:rsid w:val="00054737"/>
    <w:rsid w:val="00060C2B"/>
    <w:rsid w:val="0006121E"/>
    <w:rsid w:val="00061F47"/>
    <w:rsid w:val="000630F7"/>
    <w:rsid w:val="00070752"/>
    <w:rsid w:val="000760D3"/>
    <w:rsid w:val="000804D6"/>
    <w:rsid w:val="000825F7"/>
    <w:rsid w:val="00086C10"/>
    <w:rsid w:val="000912A1"/>
    <w:rsid w:val="0009347F"/>
    <w:rsid w:val="00093A1A"/>
    <w:rsid w:val="00097A28"/>
    <w:rsid w:val="00097EBD"/>
    <w:rsid w:val="000A4553"/>
    <w:rsid w:val="000B4C00"/>
    <w:rsid w:val="000C0D81"/>
    <w:rsid w:val="000C6D42"/>
    <w:rsid w:val="000C76CC"/>
    <w:rsid w:val="000D3DF3"/>
    <w:rsid w:val="000D73DD"/>
    <w:rsid w:val="000E62CE"/>
    <w:rsid w:val="000E6897"/>
    <w:rsid w:val="000E6AA3"/>
    <w:rsid w:val="000F1E60"/>
    <w:rsid w:val="000F5AB4"/>
    <w:rsid w:val="000F6604"/>
    <w:rsid w:val="00101185"/>
    <w:rsid w:val="0010250C"/>
    <w:rsid w:val="00106FE0"/>
    <w:rsid w:val="00106FE5"/>
    <w:rsid w:val="001107C1"/>
    <w:rsid w:val="00113BAC"/>
    <w:rsid w:val="00116A9C"/>
    <w:rsid w:val="00117DDA"/>
    <w:rsid w:val="00121859"/>
    <w:rsid w:val="0012478B"/>
    <w:rsid w:val="001252C0"/>
    <w:rsid w:val="00136179"/>
    <w:rsid w:val="00136985"/>
    <w:rsid w:val="00144F90"/>
    <w:rsid w:val="0015094A"/>
    <w:rsid w:val="00152130"/>
    <w:rsid w:val="001544DE"/>
    <w:rsid w:val="001550A4"/>
    <w:rsid w:val="00156D4B"/>
    <w:rsid w:val="00164DA6"/>
    <w:rsid w:val="00167BF7"/>
    <w:rsid w:val="0017685E"/>
    <w:rsid w:val="00176BC2"/>
    <w:rsid w:val="00176F12"/>
    <w:rsid w:val="001802EC"/>
    <w:rsid w:val="00187905"/>
    <w:rsid w:val="00190167"/>
    <w:rsid w:val="00191C04"/>
    <w:rsid w:val="0019476C"/>
    <w:rsid w:val="001A1169"/>
    <w:rsid w:val="001A16AC"/>
    <w:rsid w:val="001A631E"/>
    <w:rsid w:val="001B6086"/>
    <w:rsid w:val="001B770F"/>
    <w:rsid w:val="001C30C2"/>
    <w:rsid w:val="001D3D65"/>
    <w:rsid w:val="001D3F2E"/>
    <w:rsid w:val="001E0013"/>
    <w:rsid w:val="001E133F"/>
    <w:rsid w:val="001E2902"/>
    <w:rsid w:val="001E4929"/>
    <w:rsid w:val="001E5FBB"/>
    <w:rsid w:val="001E78C3"/>
    <w:rsid w:val="001F224B"/>
    <w:rsid w:val="001F4199"/>
    <w:rsid w:val="001F4A64"/>
    <w:rsid w:val="001F6990"/>
    <w:rsid w:val="00203986"/>
    <w:rsid w:val="00204A4B"/>
    <w:rsid w:val="00205128"/>
    <w:rsid w:val="002122B1"/>
    <w:rsid w:val="0021566E"/>
    <w:rsid w:val="00220517"/>
    <w:rsid w:val="0022373A"/>
    <w:rsid w:val="00225DCA"/>
    <w:rsid w:val="00232D2B"/>
    <w:rsid w:val="00234F59"/>
    <w:rsid w:val="0023589F"/>
    <w:rsid w:val="002363B3"/>
    <w:rsid w:val="00251EF5"/>
    <w:rsid w:val="0025289C"/>
    <w:rsid w:val="00253F04"/>
    <w:rsid w:val="00260A9B"/>
    <w:rsid w:val="00262C29"/>
    <w:rsid w:val="00263B3A"/>
    <w:rsid w:val="00263F3D"/>
    <w:rsid w:val="0027154E"/>
    <w:rsid w:val="00272711"/>
    <w:rsid w:val="00275765"/>
    <w:rsid w:val="00277375"/>
    <w:rsid w:val="00280779"/>
    <w:rsid w:val="00282363"/>
    <w:rsid w:val="002826E5"/>
    <w:rsid w:val="00285C65"/>
    <w:rsid w:val="00292820"/>
    <w:rsid w:val="002968BC"/>
    <w:rsid w:val="00296DC7"/>
    <w:rsid w:val="002A19B2"/>
    <w:rsid w:val="002A33A9"/>
    <w:rsid w:val="002A4A65"/>
    <w:rsid w:val="002A5ED3"/>
    <w:rsid w:val="002B4862"/>
    <w:rsid w:val="002B5B47"/>
    <w:rsid w:val="002B729D"/>
    <w:rsid w:val="002D1292"/>
    <w:rsid w:val="002D1C91"/>
    <w:rsid w:val="002E1B1D"/>
    <w:rsid w:val="002F763B"/>
    <w:rsid w:val="00302BC0"/>
    <w:rsid w:val="00310382"/>
    <w:rsid w:val="00314D7C"/>
    <w:rsid w:val="00315811"/>
    <w:rsid w:val="00322CD8"/>
    <w:rsid w:val="00322E99"/>
    <w:rsid w:val="00330942"/>
    <w:rsid w:val="0033529B"/>
    <w:rsid w:val="00342D59"/>
    <w:rsid w:val="00350584"/>
    <w:rsid w:val="00350BA5"/>
    <w:rsid w:val="00350FCA"/>
    <w:rsid w:val="003513B2"/>
    <w:rsid w:val="00361135"/>
    <w:rsid w:val="0036178D"/>
    <w:rsid w:val="003668C9"/>
    <w:rsid w:val="00380811"/>
    <w:rsid w:val="00382B7B"/>
    <w:rsid w:val="003830F7"/>
    <w:rsid w:val="003859F6"/>
    <w:rsid w:val="003871E5"/>
    <w:rsid w:val="00387CEC"/>
    <w:rsid w:val="00390334"/>
    <w:rsid w:val="003936BB"/>
    <w:rsid w:val="003942CF"/>
    <w:rsid w:val="003946F0"/>
    <w:rsid w:val="003B29DD"/>
    <w:rsid w:val="003B3CC2"/>
    <w:rsid w:val="003B469D"/>
    <w:rsid w:val="003B61BE"/>
    <w:rsid w:val="003B686E"/>
    <w:rsid w:val="003C2066"/>
    <w:rsid w:val="003C4C86"/>
    <w:rsid w:val="003C761B"/>
    <w:rsid w:val="003D5159"/>
    <w:rsid w:val="003D78CB"/>
    <w:rsid w:val="003E2FF4"/>
    <w:rsid w:val="003F15C5"/>
    <w:rsid w:val="003F18D8"/>
    <w:rsid w:val="003F1AC5"/>
    <w:rsid w:val="003F1D8B"/>
    <w:rsid w:val="003F208E"/>
    <w:rsid w:val="003F267D"/>
    <w:rsid w:val="003F7EE9"/>
    <w:rsid w:val="00401A5E"/>
    <w:rsid w:val="004020FF"/>
    <w:rsid w:val="004023AE"/>
    <w:rsid w:val="00402EB1"/>
    <w:rsid w:val="00403FDD"/>
    <w:rsid w:val="004076E4"/>
    <w:rsid w:val="0041525C"/>
    <w:rsid w:val="00417F99"/>
    <w:rsid w:val="00422ABD"/>
    <w:rsid w:val="00424A92"/>
    <w:rsid w:val="00425F28"/>
    <w:rsid w:val="004302B1"/>
    <w:rsid w:val="00432AFE"/>
    <w:rsid w:val="00432C8A"/>
    <w:rsid w:val="0043587B"/>
    <w:rsid w:val="0044559C"/>
    <w:rsid w:val="004508E6"/>
    <w:rsid w:val="00452DF9"/>
    <w:rsid w:val="0045676B"/>
    <w:rsid w:val="00460584"/>
    <w:rsid w:val="00462B6B"/>
    <w:rsid w:val="004644AD"/>
    <w:rsid w:val="004667B7"/>
    <w:rsid w:val="00475625"/>
    <w:rsid w:val="00477DE9"/>
    <w:rsid w:val="00480777"/>
    <w:rsid w:val="0048652D"/>
    <w:rsid w:val="00487510"/>
    <w:rsid w:val="00491A16"/>
    <w:rsid w:val="004922AC"/>
    <w:rsid w:val="00493C80"/>
    <w:rsid w:val="00495C9E"/>
    <w:rsid w:val="00497BEE"/>
    <w:rsid w:val="00497F81"/>
    <w:rsid w:val="004A2849"/>
    <w:rsid w:val="004A63B1"/>
    <w:rsid w:val="004B1880"/>
    <w:rsid w:val="004B52D4"/>
    <w:rsid w:val="004B57EA"/>
    <w:rsid w:val="004B7455"/>
    <w:rsid w:val="004C41FD"/>
    <w:rsid w:val="004C6580"/>
    <w:rsid w:val="004C7C16"/>
    <w:rsid w:val="004D30BE"/>
    <w:rsid w:val="004D3553"/>
    <w:rsid w:val="004D4BC1"/>
    <w:rsid w:val="004D5CE8"/>
    <w:rsid w:val="004E4FC7"/>
    <w:rsid w:val="004E7E12"/>
    <w:rsid w:val="004F2DC3"/>
    <w:rsid w:val="004F715F"/>
    <w:rsid w:val="004F7201"/>
    <w:rsid w:val="00511A26"/>
    <w:rsid w:val="00516EEE"/>
    <w:rsid w:val="00522F3E"/>
    <w:rsid w:val="0052556E"/>
    <w:rsid w:val="00532B90"/>
    <w:rsid w:val="0053455A"/>
    <w:rsid w:val="0054404F"/>
    <w:rsid w:val="00547530"/>
    <w:rsid w:val="0056289F"/>
    <w:rsid w:val="005640C0"/>
    <w:rsid w:val="0056728B"/>
    <w:rsid w:val="0057058C"/>
    <w:rsid w:val="00570E7D"/>
    <w:rsid w:val="005721B9"/>
    <w:rsid w:val="005728C9"/>
    <w:rsid w:val="0057584E"/>
    <w:rsid w:val="0058029A"/>
    <w:rsid w:val="005841D8"/>
    <w:rsid w:val="00585B13"/>
    <w:rsid w:val="005911F8"/>
    <w:rsid w:val="00591C33"/>
    <w:rsid w:val="00591EAE"/>
    <w:rsid w:val="00594350"/>
    <w:rsid w:val="005971F3"/>
    <w:rsid w:val="00597F5D"/>
    <w:rsid w:val="005A53AF"/>
    <w:rsid w:val="005A7545"/>
    <w:rsid w:val="005B189E"/>
    <w:rsid w:val="005B1F33"/>
    <w:rsid w:val="005B30CB"/>
    <w:rsid w:val="005B3777"/>
    <w:rsid w:val="005B45A0"/>
    <w:rsid w:val="005B54A7"/>
    <w:rsid w:val="005B60D3"/>
    <w:rsid w:val="005B757F"/>
    <w:rsid w:val="005C7282"/>
    <w:rsid w:val="005D0FF1"/>
    <w:rsid w:val="005D5345"/>
    <w:rsid w:val="005E12EF"/>
    <w:rsid w:val="005E31F8"/>
    <w:rsid w:val="005E3B0B"/>
    <w:rsid w:val="005E3F9A"/>
    <w:rsid w:val="005F7B1B"/>
    <w:rsid w:val="00602393"/>
    <w:rsid w:val="006053DA"/>
    <w:rsid w:val="00606549"/>
    <w:rsid w:val="00606A0E"/>
    <w:rsid w:val="006079BD"/>
    <w:rsid w:val="00617182"/>
    <w:rsid w:val="006178F6"/>
    <w:rsid w:val="00624805"/>
    <w:rsid w:val="00625668"/>
    <w:rsid w:val="00635657"/>
    <w:rsid w:val="00644BF1"/>
    <w:rsid w:val="006479E8"/>
    <w:rsid w:val="006507F9"/>
    <w:rsid w:val="00650A0A"/>
    <w:rsid w:val="00653EE8"/>
    <w:rsid w:val="0065580B"/>
    <w:rsid w:val="006572EC"/>
    <w:rsid w:val="00660544"/>
    <w:rsid w:val="00662033"/>
    <w:rsid w:val="006643B3"/>
    <w:rsid w:val="00665347"/>
    <w:rsid w:val="00670021"/>
    <w:rsid w:val="00673FAE"/>
    <w:rsid w:val="00674928"/>
    <w:rsid w:val="00682A5D"/>
    <w:rsid w:val="00685FBC"/>
    <w:rsid w:val="00686B13"/>
    <w:rsid w:val="006876BF"/>
    <w:rsid w:val="006906B2"/>
    <w:rsid w:val="0069231B"/>
    <w:rsid w:val="006923D8"/>
    <w:rsid w:val="00692C24"/>
    <w:rsid w:val="00693376"/>
    <w:rsid w:val="00694EC1"/>
    <w:rsid w:val="006952C5"/>
    <w:rsid w:val="006A09BF"/>
    <w:rsid w:val="006A15A0"/>
    <w:rsid w:val="006B1D07"/>
    <w:rsid w:val="006B2165"/>
    <w:rsid w:val="006B2AE8"/>
    <w:rsid w:val="006C0902"/>
    <w:rsid w:val="006C0DEF"/>
    <w:rsid w:val="006C26E5"/>
    <w:rsid w:val="006C27C8"/>
    <w:rsid w:val="006C7002"/>
    <w:rsid w:val="006D0A82"/>
    <w:rsid w:val="006D2F9A"/>
    <w:rsid w:val="006E6FD8"/>
    <w:rsid w:val="006E7AC9"/>
    <w:rsid w:val="006F3087"/>
    <w:rsid w:val="00707219"/>
    <w:rsid w:val="0070730C"/>
    <w:rsid w:val="0071006B"/>
    <w:rsid w:val="00717985"/>
    <w:rsid w:val="007232A9"/>
    <w:rsid w:val="00724B3B"/>
    <w:rsid w:val="0072585D"/>
    <w:rsid w:val="007265F1"/>
    <w:rsid w:val="007300F5"/>
    <w:rsid w:val="00730744"/>
    <w:rsid w:val="00731154"/>
    <w:rsid w:val="007542ED"/>
    <w:rsid w:val="00757B7F"/>
    <w:rsid w:val="00757F78"/>
    <w:rsid w:val="00765386"/>
    <w:rsid w:val="007661AA"/>
    <w:rsid w:val="00767E86"/>
    <w:rsid w:val="00773080"/>
    <w:rsid w:val="00775534"/>
    <w:rsid w:val="00777A7F"/>
    <w:rsid w:val="00781A72"/>
    <w:rsid w:val="00787632"/>
    <w:rsid w:val="007907AB"/>
    <w:rsid w:val="00792795"/>
    <w:rsid w:val="00794B52"/>
    <w:rsid w:val="00795B76"/>
    <w:rsid w:val="00795D94"/>
    <w:rsid w:val="007A0F66"/>
    <w:rsid w:val="007A2D3F"/>
    <w:rsid w:val="007A3E4E"/>
    <w:rsid w:val="007A3FDC"/>
    <w:rsid w:val="007A74D9"/>
    <w:rsid w:val="007B2056"/>
    <w:rsid w:val="007B6B13"/>
    <w:rsid w:val="007C2626"/>
    <w:rsid w:val="007D7111"/>
    <w:rsid w:val="007E1809"/>
    <w:rsid w:val="007E44B0"/>
    <w:rsid w:val="007E73BE"/>
    <w:rsid w:val="007F0802"/>
    <w:rsid w:val="007F0BC2"/>
    <w:rsid w:val="007F566B"/>
    <w:rsid w:val="007F6ABC"/>
    <w:rsid w:val="007F7720"/>
    <w:rsid w:val="00810BF5"/>
    <w:rsid w:val="00815D1B"/>
    <w:rsid w:val="008229B2"/>
    <w:rsid w:val="00822AFE"/>
    <w:rsid w:val="00823B1A"/>
    <w:rsid w:val="00824198"/>
    <w:rsid w:val="00825511"/>
    <w:rsid w:val="00832309"/>
    <w:rsid w:val="00841D96"/>
    <w:rsid w:val="008437AE"/>
    <w:rsid w:val="00845009"/>
    <w:rsid w:val="008503A3"/>
    <w:rsid w:val="008514CB"/>
    <w:rsid w:val="00860CC1"/>
    <w:rsid w:val="008655B3"/>
    <w:rsid w:val="0087111F"/>
    <w:rsid w:val="00877707"/>
    <w:rsid w:val="0088194E"/>
    <w:rsid w:val="00884239"/>
    <w:rsid w:val="00884D5F"/>
    <w:rsid w:val="00885911"/>
    <w:rsid w:val="008A4725"/>
    <w:rsid w:val="008A63DA"/>
    <w:rsid w:val="008A6581"/>
    <w:rsid w:val="008A79F2"/>
    <w:rsid w:val="008B2963"/>
    <w:rsid w:val="008C3DC0"/>
    <w:rsid w:val="008C3E51"/>
    <w:rsid w:val="008D3B3D"/>
    <w:rsid w:val="008D51F0"/>
    <w:rsid w:val="008E1C78"/>
    <w:rsid w:val="008E47D5"/>
    <w:rsid w:val="008E715B"/>
    <w:rsid w:val="008F33E7"/>
    <w:rsid w:val="009052FE"/>
    <w:rsid w:val="00907FC7"/>
    <w:rsid w:val="00916B79"/>
    <w:rsid w:val="00925F30"/>
    <w:rsid w:val="00933314"/>
    <w:rsid w:val="00934EEF"/>
    <w:rsid w:val="009364D0"/>
    <w:rsid w:val="00936729"/>
    <w:rsid w:val="00937714"/>
    <w:rsid w:val="00943568"/>
    <w:rsid w:val="00945F3D"/>
    <w:rsid w:val="00956F8F"/>
    <w:rsid w:val="009574A6"/>
    <w:rsid w:val="00960739"/>
    <w:rsid w:val="00964694"/>
    <w:rsid w:val="00965B93"/>
    <w:rsid w:val="00967785"/>
    <w:rsid w:val="00967A4B"/>
    <w:rsid w:val="00967EC9"/>
    <w:rsid w:val="009705F8"/>
    <w:rsid w:val="009709A8"/>
    <w:rsid w:val="0097168F"/>
    <w:rsid w:val="00972981"/>
    <w:rsid w:val="00976535"/>
    <w:rsid w:val="00985218"/>
    <w:rsid w:val="00995443"/>
    <w:rsid w:val="00995BC0"/>
    <w:rsid w:val="009A06E9"/>
    <w:rsid w:val="009A3BAE"/>
    <w:rsid w:val="009A414F"/>
    <w:rsid w:val="009A4233"/>
    <w:rsid w:val="009A6C98"/>
    <w:rsid w:val="009B23B2"/>
    <w:rsid w:val="009B4615"/>
    <w:rsid w:val="009B5693"/>
    <w:rsid w:val="009B6BDC"/>
    <w:rsid w:val="009B7989"/>
    <w:rsid w:val="009B7DD0"/>
    <w:rsid w:val="009C159F"/>
    <w:rsid w:val="009D0E4A"/>
    <w:rsid w:val="009D47F6"/>
    <w:rsid w:val="009D6539"/>
    <w:rsid w:val="009D6D22"/>
    <w:rsid w:val="009E1CB5"/>
    <w:rsid w:val="009E37DD"/>
    <w:rsid w:val="009E3CF8"/>
    <w:rsid w:val="009E5989"/>
    <w:rsid w:val="009E644E"/>
    <w:rsid w:val="00A03420"/>
    <w:rsid w:val="00A03617"/>
    <w:rsid w:val="00A04222"/>
    <w:rsid w:val="00A111EA"/>
    <w:rsid w:val="00A20D90"/>
    <w:rsid w:val="00A31459"/>
    <w:rsid w:val="00A34AE9"/>
    <w:rsid w:val="00A35D83"/>
    <w:rsid w:val="00A37E07"/>
    <w:rsid w:val="00A429AE"/>
    <w:rsid w:val="00A55734"/>
    <w:rsid w:val="00A57A02"/>
    <w:rsid w:val="00A57A6E"/>
    <w:rsid w:val="00A62D2D"/>
    <w:rsid w:val="00A71ED5"/>
    <w:rsid w:val="00A74B8B"/>
    <w:rsid w:val="00A75672"/>
    <w:rsid w:val="00A75DDC"/>
    <w:rsid w:val="00A75FF4"/>
    <w:rsid w:val="00A77467"/>
    <w:rsid w:val="00A77B3C"/>
    <w:rsid w:val="00A832D3"/>
    <w:rsid w:val="00A84960"/>
    <w:rsid w:val="00A91AA1"/>
    <w:rsid w:val="00A9296A"/>
    <w:rsid w:val="00A97060"/>
    <w:rsid w:val="00AA7615"/>
    <w:rsid w:val="00AB0408"/>
    <w:rsid w:val="00AB7747"/>
    <w:rsid w:val="00AC07E4"/>
    <w:rsid w:val="00AC3643"/>
    <w:rsid w:val="00AD3016"/>
    <w:rsid w:val="00AD3A3E"/>
    <w:rsid w:val="00AD6423"/>
    <w:rsid w:val="00AD6E1A"/>
    <w:rsid w:val="00AE1F14"/>
    <w:rsid w:val="00AE64F4"/>
    <w:rsid w:val="00AF6803"/>
    <w:rsid w:val="00B01D5C"/>
    <w:rsid w:val="00B03B3A"/>
    <w:rsid w:val="00B05303"/>
    <w:rsid w:val="00B059FE"/>
    <w:rsid w:val="00B07437"/>
    <w:rsid w:val="00B1118C"/>
    <w:rsid w:val="00B131AD"/>
    <w:rsid w:val="00B140B3"/>
    <w:rsid w:val="00B15CAC"/>
    <w:rsid w:val="00B165AD"/>
    <w:rsid w:val="00B16955"/>
    <w:rsid w:val="00B16DCF"/>
    <w:rsid w:val="00B20BA5"/>
    <w:rsid w:val="00B2351B"/>
    <w:rsid w:val="00B2455E"/>
    <w:rsid w:val="00B30CE8"/>
    <w:rsid w:val="00B3299F"/>
    <w:rsid w:val="00B46D7F"/>
    <w:rsid w:val="00B51315"/>
    <w:rsid w:val="00B616EE"/>
    <w:rsid w:val="00B628A3"/>
    <w:rsid w:val="00B62D5D"/>
    <w:rsid w:val="00B6354D"/>
    <w:rsid w:val="00B635BA"/>
    <w:rsid w:val="00B66C55"/>
    <w:rsid w:val="00B70CC4"/>
    <w:rsid w:val="00B743EA"/>
    <w:rsid w:val="00B84B44"/>
    <w:rsid w:val="00B871D9"/>
    <w:rsid w:val="00B90F2A"/>
    <w:rsid w:val="00B92C34"/>
    <w:rsid w:val="00B95C63"/>
    <w:rsid w:val="00B97FF6"/>
    <w:rsid w:val="00BA3837"/>
    <w:rsid w:val="00BA4F3E"/>
    <w:rsid w:val="00BB1DEE"/>
    <w:rsid w:val="00BB73E4"/>
    <w:rsid w:val="00BB7A7B"/>
    <w:rsid w:val="00BC1B83"/>
    <w:rsid w:val="00BC3AB3"/>
    <w:rsid w:val="00BC5328"/>
    <w:rsid w:val="00BC7157"/>
    <w:rsid w:val="00BC7661"/>
    <w:rsid w:val="00BD16BC"/>
    <w:rsid w:val="00BD5A1E"/>
    <w:rsid w:val="00BE639A"/>
    <w:rsid w:val="00BE6776"/>
    <w:rsid w:val="00BF45CD"/>
    <w:rsid w:val="00BF484B"/>
    <w:rsid w:val="00BF5372"/>
    <w:rsid w:val="00BF7102"/>
    <w:rsid w:val="00C005FF"/>
    <w:rsid w:val="00C031AD"/>
    <w:rsid w:val="00C0499B"/>
    <w:rsid w:val="00C067F6"/>
    <w:rsid w:val="00C13044"/>
    <w:rsid w:val="00C16C16"/>
    <w:rsid w:val="00C21A63"/>
    <w:rsid w:val="00C2257D"/>
    <w:rsid w:val="00C26387"/>
    <w:rsid w:val="00C319C3"/>
    <w:rsid w:val="00C33020"/>
    <w:rsid w:val="00C3531B"/>
    <w:rsid w:val="00C36627"/>
    <w:rsid w:val="00C367A5"/>
    <w:rsid w:val="00C37115"/>
    <w:rsid w:val="00C40714"/>
    <w:rsid w:val="00C438FF"/>
    <w:rsid w:val="00C46449"/>
    <w:rsid w:val="00C50066"/>
    <w:rsid w:val="00C504E3"/>
    <w:rsid w:val="00C512F0"/>
    <w:rsid w:val="00C552ED"/>
    <w:rsid w:val="00C60EBA"/>
    <w:rsid w:val="00C62667"/>
    <w:rsid w:val="00C63F5B"/>
    <w:rsid w:val="00C64CE5"/>
    <w:rsid w:val="00C67E49"/>
    <w:rsid w:val="00C7769D"/>
    <w:rsid w:val="00C80D2A"/>
    <w:rsid w:val="00C81655"/>
    <w:rsid w:val="00C82EF9"/>
    <w:rsid w:val="00C967AB"/>
    <w:rsid w:val="00CA05D6"/>
    <w:rsid w:val="00CA6038"/>
    <w:rsid w:val="00CA654C"/>
    <w:rsid w:val="00CA7914"/>
    <w:rsid w:val="00CB2852"/>
    <w:rsid w:val="00CC0B44"/>
    <w:rsid w:val="00CC0D26"/>
    <w:rsid w:val="00CD0672"/>
    <w:rsid w:val="00CD5394"/>
    <w:rsid w:val="00CD586E"/>
    <w:rsid w:val="00CD594B"/>
    <w:rsid w:val="00CD79D1"/>
    <w:rsid w:val="00CD7CC6"/>
    <w:rsid w:val="00CE66FA"/>
    <w:rsid w:val="00CE7490"/>
    <w:rsid w:val="00D02BBD"/>
    <w:rsid w:val="00D03376"/>
    <w:rsid w:val="00D108F7"/>
    <w:rsid w:val="00D10A40"/>
    <w:rsid w:val="00D12C95"/>
    <w:rsid w:val="00D1354B"/>
    <w:rsid w:val="00D14C4D"/>
    <w:rsid w:val="00D17877"/>
    <w:rsid w:val="00D17EB1"/>
    <w:rsid w:val="00D22293"/>
    <w:rsid w:val="00D40BEC"/>
    <w:rsid w:val="00D41ED4"/>
    <w:rsid w:val="00D5296B"/>
    <w:rsid w:val="00D5637B"/>
    <w:rsid w:val="00D60C1D"/>
    <w:rsid w:val="00D70410"/>
    <w:rsid w:val="00D77F82"/>
    <w:rsid w:val="00D815B8"/>
    <w:rsid w:val="00D840F1"/>
    <w:rsid w:val="00D84974"/>
    <w:rsid w:val="00D94C3E"/>
    <w:rsid w:val="00D96A4F"/>
    <w:rsid w:val="00DA2D59"/>
    <w:rsid w:val="00DA7AEF"/>
    <w:rsid w:val="00DB5F98"/>
    <w:rsid w:val="00DC0C0C"/>
    <w:rsid w:val="00DC0CBB"/>
    <w:rsid w:val="00DC1290"/>
    <w:rsid w:val="00DC199B"/>
    <w:rsid w:val="00DC3942"/>
    <w:rsid w:val="00DC579C"/>
    <w:rsid w:val="00DC5AA7"/>
    <w:rsid w:val="00DD23DC"/>
    <w:rsid w:val="00DD4813"/>
    <w:rsid w:val="00DD4B7C"/>
    <w:rsid w:val="00DD6F41"/>
    <w:rsid w:val="00DE019D"/>
    <w:rsid w:val="00DE3582"/>
    <w:rsid w:val="00DE5DF3"/>
    <w:rsid w:val="00DE7F71"/>
    <w:rsid w:val="00DF2B86"/>
    <w:rsid w:val="00DF4002"/>
    <w:rsid w:val="00DF4F6D"/>
    <w:rsid w:val="00E030AB"/>
    <w:rsid w:val="00E03461"/>
    <w:rsid w:val="00E06592"/>
    <w:rsid w:val="00E06A53"/>
    <w:rsid w:val="00E10A54"/>
    <w:rsid w:val="00E1626B"/>
    <w:rsid w:val="00E164D1"/>
    <w:rsid w:val="00E2169F"/>
    <w:rsid w:val="00E243BF"/>
    <w:rsid w:val="00E260AF"/>
    <w:rsid w:val="00E2620B"/>
    <w:rsid w:val="00E30432"/>
    <w:rsid w:val="00E306E5"/>
    <w:rsid w:val="00E33C6A"/>
    <w:rsid w:val="00E34D46"/>
    <w:rsid w:val="00E36FBF"/>
    <w:rsid w:val="00E3709E"/>
    <w:rsid w:val="00E417AD"/>
    <w:rsid w:val="00E44FFD"/>
    <w:rsid w:val="00E456E1"/>
    <w:rsid w:val="00E50856"/>
    <w:rsid w:val="00E50C49"/>
    <w:rsid w:val="00E5146F"/>
    <w:rsid w:val="00E55052"/>
    <w:rsid w:val="00E5695F"/>
    <w:rsid w:val="00E605F2"/>
    <w:rsid w:val="00E6518C"/>
    <w:rsid w:val="00E66843"/>
    <w:rsid w:val="00E668F2"/>
    <w:rsid w:val="00E67EC2"/>
    <w:rsid w:val="00E90612"/>
    <w:rsid w:val="00E915C8"/>
    <w:rsid w:val="00E95B6E"/>
    <w:rsid w:val="00EA01AC"/>
    <w:rsid w:val="00EA5A49"/>
    <w:rsid w:val="00EA72DF"/>
    <w:rsid w:val="00EA7DB2"/>
    <w:rsid w:val="00EB66F5"/>
    <w:rsid w:val="00EB77D6"/>
    <w:rsid w:val="00EC1852"/>
    <w:rsid w:val="00EC5633"/>
    <w:rsid w:val="00ED0C73"/>
    <w:rsid w:val="00ED3960"/>
    <w:rsid w:val="00ED516F"/>
    <w:rsid w:val="00ED5B3E"/>
    <w:rsid w:val="00EE1795"/>
    <w:rsid w:val="00EE3AA7"/>
    <w:rsid w:val="00F03164"/>
    <w:rsid w:val="00F040CA"/>
    <w:rsid w:val="00F045FC"/>
    <w:rsid w:val="00F10569"/>
    <w:rsid w:val="00F15191"/>
    <w:rsid w:val="00F163C9"/>
    <w:rsid w:val="00F164A7"/>
    <w:rsid w:val="00F17E2E"/>
    <w:rsid w:val="00F2102D"/>
    <w:rsid w:val="00F22F08"/>
    <w:rsid w:val="00F302DC"/>
    <w:rsid w:val="00F44D81"/>
    <w:rsid w:val="00F45A06"/>
    <w:rsid w:val="00F46B16"/>
    <w:rsid w:val="00F47144"/>
    <w:rsid w:val="00F525D1"/>
    <w:rsid w:val="00F529D8"/>
    <w:rsid w:val="00F5746B"/>
    <w:rsid w:val="00F64B43"/>
    <w:rsid w:val="00F65B79"/>
    <w:rsid w:val="00F72220"/>
    <w:rsid w:val="00F7678A"/>
    <w:rsid w:val="00F81F00"/>
    <w:rsid w:val="00F83504"/>
    <w:rsid w:val="00F85F3D"/>
    <w:rsid w:val="00F91E46"/>
    <w:rsid w:val="00F94F90"/>
    <w:rsid w:val="00FA000A"/>
    <w:rsid w:val="00FA48AC"/>
    <w:rsid w:val="00FA5DDC"/>
    <w:rsid w:val="00FA7882"/>
    <w:rsid w:val="00FB1DE0"/>
    <w:rsid w:val="00FB2AEC"/>
    <w:rsid w:val="00FB2E54"/>
    <w:rsid w:val="00FB712F"/>
    <w:rsid w:val="00FC3156"/>
    <w:rsid w:val="00FC3A11"/>
    <w:rsid w:val="00FC6837"/>
    <w:rsid w:val="00FC7D6C"/>
    <w:rsid w:val="00FD06E4"/>
    <w:rsid w:val="00FD485C"/>
    <w:rsid w:val="00FD63B6"/>
    <w:rsid w:val="00FD7804"/>
    <w:rsid w:val="00FE0DB2"/>
    <w:rsid w:val="00FE1D2E"/>
    <w:rsid w:val="00FE321A"/>
    <w:rsid w:val="00FE3EE1"/>
    <w:rsid w:val="00FE5436"/>
    <w:rsid w:val="00FE624B"/>
    <w:rsid w:val="00FF0289"/>
    <w:rsid w:val="00FF05E0"/>
    <w:rsid w:val="00FF12C9"/>
    <w:rsid w:val="00FF2E05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44C21DEF-2DA2-4CAF-AE66-16BEC316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0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2E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semiHidden/>
    <w:rsid w:val="00B635BA"/>
    <w:rPr>
      <w:rFonts w:ascii="Tahoma" w:hAnsi="Tahoma" w:cs="Tahoma"/>
      <w:sz w:val="16"/>
      <w:szCs w:val="16"/>
    </w:rPr>
  </w:style>
  <w:style w:type="paragraph" w:customStyle="1" w:styleId="Tekstpodstawowy1">
    <w:name w:val="Tekst podstawowy1"/>
    <w:rsid w:val="00BB73E4"/>
    <w:rPr>
      <w:rFonts w:ascii="Booker" w:hAnsi="Booker"/>
      <w:color w:val="000000"/>
      <w:sz w:val="24"/>
      <w:lang w:val="en-US"/>
    </w:rPr>
  </w:style>
  <w:style w:type="paragraph" w:styleId="Tekstpodstawowy">
    <w:name w:val="Body Text"/>
    <w:basedOn w:val="Normalny"/>
    <w:link w:val="TekstpodstawowyZnak"/>
    <w:rsid w:val="00BB73E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color w:val="00000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B73E4"/>
    <w:rPr>
      <w:color w:val="000000"/>
      <w:sz w:val="26"/>
    </w:rPr>
  </w:style>
  <w:style w:type="paragraph" w:styleId="Nagwek">
    <w:name w:val="header"/>
    <w:basedOn w:val="Normalny"/>
    <w:link w:val="NagwekZnak"/>
    <w:rsid w:val="005B54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54A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B54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54A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023A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7307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0744"/>
  </w:style>
  <w:style w:type="character" w:styleId="Odwoanieprzypisudolnego">
    <w:name w:val="footnote reference"/>
    <w:basedOn w:val="Domylnaczcionkaakapitu"/>
    <w:rsid w:val="00730744"/>
    <w:rPr>
      <w:vertAlign w:val="superscript"/>
    </w:rPr>
  </w:style>
  <w:style w:type="character" w:styleId="Odwoaniedokomentarza">
    <w:name w:val="annotation reference"/>
    <w:basedOn w:val="Domylnaczcionkaakapitu"/>
    <w:rsid w:val="00686B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6B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86B13"/>
  </w:style>
  <w:style w:type="paragraph" w:styleId="Tematkomentarza">
    <w:name w:val="annotation subject"/>
    <w:basedOn w:val="Tekstkomentarza"/>
    <w:next w:val="Tekstkomentarza"/>
    <w:link w:val="TematkomentarzaZnak"/>
    <w:rsid w:val="00686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86B13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6620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62033"/>
  </w:style>
  <w:style w:type="character" w:styleId="Odwoanieprzypisukocowego">
    <w:name w:val="endnote reference"/>
    <w:basedOn w:val="Domylnaczcionkaakapitu"/>
    <w:semiHidden/>
    <w:unhideWhenUsed/>
    <w:rsid w:val="00662033"/>
    <w:rPr>
      <w:vertAlign w:val="superscript"/>
    </w:rPr>
  </w:style>
  <w:style w:type="table" w:styleId="Tabela-Siatka">
    <w:name w:val="Table Grid"/>
    <w:basedOn w:val="Standardowy"/>
    <w:uiPriority w:val="39"/>
    <w:rsid w:val="007100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95EBA-A4B2-4342-9D13-FFA40125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1077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……/2009</vt:lpstr>
    </vt:vector>
  </TitlesOfParts>
  <Company>GPW</Company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……/2009</dc:title>
  <dc:creator>Roman Kędziora</dc:creator>
  <cp:lastModifiedBy>Leszczyńska-Toboła Jolanta</cp:lastModifiedBy>
  <cp:revision>3</cp:revision>
  <cp:lastPrinted>2016-12-12T09:57:00Z</cp:lastPrinted>
  <dcterms:created xsi:type="dcterms:W3CDTF">2019-02-26T14:25:00Z</dcterms:created>
  <dcterms:modified xsi:type="dcterms:W3CDTF">2019-02-26T16:00:00Z</dcterms:modified>
</cp:coreProperties>
</file>