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16"/>
          <w:szCs w:val="16"/>
          <w:lang w:val="pl-PL"/>
        </w:rPr>
      </w:pPr>
      <w:r w:rsidRPr="00CE0814">
        <w:rPr>
          <w:rFonts w:ascii="Verdana" w:hAnsi="Verdana" w:cs="Arial"/>
          <w:sz w:val="16"/>
          <w:szCs w:val="16"/>
          <w:lang w:val="pl-PL"/>
        </w:rPr>
        <w:t xml:space="preserve">Załącznik do Uchwały Nr </w:t>
      </w:r>
      <w:r w:rsidR="00C628E0">
        <w:rPr>
          <w:rFonts w:ascii="Verdana" w:hAnsi="Verdana" w:cs="Arial"/>
          <w:sz w:val="16"/>
          <w:szCs w:val="16"/>
          <w:lang w:val="pl-PL"/>
        </w:rPr>
        <w:t>115</w:t>
      </w:r>
      <w:r w:rsidRPr="00CE0814">
        <w:rPr>
          <w:rFonts w:ascii="Verdana" w:hAnsi="Verdana" w:cs="Arial"/>
          <w:sz w:val="16"/>
          <w:szCs w:val="16"/>
          <w:lang w:val="pl-PL"/>
        </w:rPr>
        <w:t>/201</w:t>
      </w:r>
      <w:r w:rsidR="00897AAF" w:rsidRPr="00CE0814">
        <w:rPr>
          <w:rFonts w:ascii="Verdana" w:hAnsi="Verdana" w:cs="Arial"/>
          <w:sz w:val="16"/>
          <w:szCs w:val="16"/>
          <w:lang w:val="pl-PL"/>
        </w:rPr>
        <w:t>9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16"/>
          <w:szCs w:val="16"/>
          <w:lang w:val="pl-PL"/>
        </w:rPr>
      </w:pPr>
      <w:r w:rsidRPr="00CE0814">
        <w:rPr>
          <w:rFonts w:ascii="Verdana" w:hAnsi="Verdana" w:cs="Arial"/>
          <w:sz w:val="16"/>
          <w:szCs w:val="16"/>
          <w:lang w:val="pl-PL"/>
        </w:rPr>
        <w:t>Zarządu Giełdy Papierów Wartościowych w Warszawie S.A.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16"/>
          <w:szCs w:val="16"/>
          <w:lang w:val="pl-PL"/>
        </w:rPr>
      </w:pPr>
      <w:r w:rsidRPr="00CE0814">
        <w:rPr>
          <w:rFonts w:ascii="Verdana" w:hAnsi="Verdana" w:cs="Arial"/>
          <w:sz w:val="16"/>
          <w:szCs w:val="16"/>
          <w:lang w:val="pl-PL"/>
        </w:rPr>
        <w:t xml:space="preserve">z dnia </w:t>
      </w:r>
      <w:r w:rsidR="00C628E0">
        <w:rPr>
          <w:rFonts w:ascii="Verdana" w:hAnsi="Verdana" w:cs="Arial"/>
          <w:sz w:val="16"/>
          <w:szCs w:val="16"/>
          <w:lang w:val="pl-PL"/>
        </w:rPr>
        <w:t>26</w:t>
      </w:r>
      <w:bookmarkStart w:id="0" w:name="_GoBack"/>
      <w:bookmarkEnd w:id="0"/>
      <w:r w:rsidR="001509C2" w:rsidRPr="00CE0814">
        <w:rPr>
          <w:rFonts w:ascii="Verdana" w:hAnsi="Verdana" w:cs="Arial"/>
          <w:sz w:val="16"/>
          <w:szCs w:val="16"/>
          <w:lang w:val="pl-PL"/>
        </w:rPr>
        <w:t xml:space="preserve"> </w:t>
      </w:r>
      <w:r w:rsidR="00897AAF" w:rsidRPr="00CE0814">
        <w:rPr>
          <w:rFonts w:ascii="Verdana" w:hAnsi="Verdana" w:cs="Arial"/>
          <w:sz w:val="16"/>
          <w:szCs w:val="16"/>
          <w:lang w:val="pl-PL"/>
        </w:rPr>
        <w:t>lutego</w:t>
      </w:r>
      <w:r w:rsidR="00942DC6" w:rsidRPr="00CE0814">
        <w:rPr>
          <w:rFonts w:ascii="Verdana" w:hAnsi="Verdana" w:cs="Arial"/>
          <w:sz w:val="16"/>
          <w:szCs w:val="16"/>
          <w:lang w:val="pl-PL"/>
        </w:rPr>
        <w:t xml:space="preserve"> </w:t>
      </w:r>
      <w:r w:rsidR="003F7EE9" w:rsidRPr="00CE0814">
        <w:rPr>
          <w:rFonts w:ascii="Verdana" w:hAnsi="Verdana" w:cs="Arial"/>
          <w:sz w:val="16"/>
          <w:szCs w:val="16"/>
          <w:lang w:val="pl-PL"/>
        </w:rPr>
        <w:t>201</w:t>
      </w:r>
      <w:r w:rsidR="00897AAF" w:rsidRPr="00CE0814">
        <w:rPr>
          <w:rFonts w:ascii="Verdana" w:hAnsi="Verdana" w:cs="Arial"/>
          <w:sz w:val="16"/>
          <w:szCs w:val="16"/>
          <w:lang w:val="pl-PL"/>
        </w:rPr>
        <w:t>9</w:t>
      </w:r>
      <w:r w:rsidR="003F7EE9" w:rsidRPr="00CE0814">
        <w:rPr>
          <w:rFonts w:ascii="Verdana" w:hAnsi="Verdana" w:cs="Arial"/>
          <w:sz w:val="16"/>
          <w:szCs w:val="16"/>
          <w:lang w:val="pl-PL"/>
        </w:rPr>
        <w:t xml:space="preserve"> r.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7128F" w:rsidRPr="00CE0814" w:rsidRDefault="00D7128F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7128F" w:rsidRPr="00CE0814" w:rsidRDefault="00D7128F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SZCZEGÓŁOWE ZASADY KONSTRUKCJI I PODAWANIA DO PUBLICZNEJ WIADOMOŚCI INDEKSÓW I SUBINDEKSÓW GIEŁDOWYCH</w:t>
      </w:r>
    </w:p>
    <w:p w:rsidR="002826DC" w:rsidRPr="00CE0814" w:rsidRDefault="002826DC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2826DC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b/>
          <w:sz w:val="20"/>
          <w:lang w:val="pl-PL"/>
        </w:rPr>
      </w:pPr>
      <w:r w:rsidRPr="00CE0814">
        <w:rPr>
          <w:rFonts w:ascii="Verdana" w:hAnsi="Verdana" w:cs="Arial"/>
          <w:b/>
          <w:sz w:val="20"/>
          <w:lang w:val="pl-PL"/>
        </w:rPr>
        <w:t>(tekst jednolity</w:t>
      </w:r>
      <w:r w:rsidR="00A96DBC" w:rsidRPr="00CE0814">
        <w:rPr>
          <w:rFonts w:ascii="Verdana" w:hAnsi="Verdana" w:cs="Arial"/>
          <w:b/>
          <w:sz w:val="20"/>
          <w:lang w:val="pl-PL"/>
        </w:rPr>
        <w:t xml:space="preserve"> </w:t>
      </w:r>
      <w:r w:rsidR="009349D4" w:rsidRPr="00CE0814">
        <w:rPr>
          <w:rFonts w:ascii="Verdana" w:hAnsi="Verdana" w:cs="Arial"/>
          <w:b/>
          <w:sz w:val="20"/>
          <w:lang w:val="pl-PL"/>
        </w:rPr>
        <w:t xml:space="preserve">na dzień </w:t>
      </w:r>
      <w:r w:rsidR="00897AAF" w:rsidRPr="00CE0814">
        <w:rPr>
          <w:rFonts w:ascii="Verdana" w:hAnsi="Verdana" w:cs="Arial"/>
          <w:b/>
          <w:sz w:val="20"/>
          <w:lang w:val="pl-PL"/>
        </w:rPr>
        <w:t>18</w:t>
      </w:r>
      <w:r w:rsidR="005D2259" w:rsidRPr="00CE0814">
        <w:rPr>
          <w:rFonts w:ascii="Verdana" w:hAnsi="Verdana" w:cs="Arial"/>
          <w:b/>
          <w:sz w:val="20"/>
          <w:lang w:val="pl-PL"/>
        </w:rPr>
        <w:t xml:space="preserve"> </w:t>
      </w:r>
      <w:r w:rsidR="00897AAF" w:rsidRPr="00CE0814">
        <w:rPr>
          <w:rFonts w:ascii="Verdana" w:hAnsi="Verdana" w:cs="Arial"/>
          <w:b/>
          <w:sz w:val="20"/>
          <w:lang w:val="pl-PL"/>
        </w:rPr>
        <w:t>marca</w:t>
      </w:r>
      <w:r w:rsidR="005D2259" w:rsidRPr="00CE0814">
        <w:rPr>
          <w:rFonts w:ascii="Verdana" w:hAnsi="Verdana" w:cs="Arial"/>
          <w:b/>
          <w:sz w:val="20"/>
          <w:lang w:val="pl-PL"/>
        </w:rPr>
        <w:t xml:space="preserve"> </w:t>
      </w:r>
      <w:r w:rsidR="00C35E3E" w:rsidRPr="00CE0814">
        <w:rPr>
          <w:rFonts w:ascii="Verdana" w:hAnsi="Verdana" w:cs="Arial"/>
          <w:b/>
          <w:sz w:val="20"/>
          <w:lang w:val="pl-PL"/>
        </w:rPr>
        <w:t>201</w:t>
      </w:r>
      <w:r w:rsidR="00897AAF" w:rsidRPr="00CE0814">
        <w:rPr>
          <w:rFonts w:ascii="Verdana" w:hAnsi="Verdana" w:cs="Arial"/>
          <w:b/>
          <w:sz w:val="20"/>
          <w:lang w:val="pl-PL"/>
        </w:rPr>
        <w:t>9</w:t>
      </w:r>
      <w:r w:rsidR="00C35E3E" w:rsidRPr="00CE0814">
        <w:rPr>
          <w:rFonts w:ascii="Verdana" w:hAnsi="Verdana" w:cs="Arial"/>
          <w:b/>
          <w:sz w:val="20"/>
          <w:lang w:val="pl-PL"/>
        </w:rPr>
        <w:t xml:space="preserve"> r.</w:t>
      </w:r>
      <w:r w:rsidRPr="00CE0814">
        <w:rPr>
          <w:rFonts w:ascii="Verdana" w:hAnsi="Verdana" w:cs="Arial"/>
          <w:b/>
          <w:sz w:val="20"/>
          <w:lang w:val="pl-PL"/>
        </w:rPr>
        <w:t>)</w:t>
      </w:r>
    </w:p>
    <w:p w:rsidR="002826DC" w:rsidRPr="00CE0814" w:rsidRDefault="002826DC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b/>
          <w:sz w:val="20"/>
          <w:lang w:val="pl-PL"/>
        </w:rPr>
      </w:pPr>
    </w:p>
    <w:p w:rsidR="00D7128F" w:rsidRPr="00CE0814" w:rsidRDefault="00D7128F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b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ROZDZIAŁ I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Przepisy ogólne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1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Zasady kwalifikacji spółek do indeksów giełdowych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 </w:t>
      </w:r>
    </w:p>
    <w:p w:rsidR="00DD4B7C" w:rsidRPr="00CE0814" w:rsidRDefault="00DD4B7C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Po spełnieniu warunków określonych w niniejszej uchwale każda spółka giełdowa, której liczba akcji w wolnym obrocie jest wyższa niż 10% i wartość akcji </w:t>
      </w:r>
      <w:r w:rsidR="00DF771E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w wolnym obrocie w dniu sporządzania rankingu danego indeksu jest wyższa niż równowartość 1 mln euro może zostać wpisana na listę uczestników indeksów giełdowych.</w:t>
      </w:r>
    </w:p>
    <w:p w:rsidR="00DD4B7C" w:rsidRPr="00CE0814" w:rsidRDefault="00497BEE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auto"/>
          <w:sz w:val="20"/>
          <w:lang w:val="pl-PL"/>
        </w:rPr>
      </w:pPr>
      <w:r w:rsidRPr="00CE0814">
        <w:rPr>
          <w:rFonts w:ascii="Verdana" w:hAnsi="Verdana" w:cs="Arial"/>
          <w:color w:val="auto"/>
          <w:sz w:val="20"/>
          <w:lang w:val="pl-PL"/>
        </w:rPr>
        <w:t xml:space="preserve">Na listę uczestników indeksów giełdowych mogą nie być wpisane spółki, które zostały oznaczone w sposób szczególny zgodnie z </w:t>
      </w:r>
      <w:r w:rsidR="00E7047C" w:rsidRPr="00CE0814">
        <w:rPr>
          <w:rFonts w:ascii="Verdana" w:hAnsi="Verdana" w:cs="Arial"/>
          <w:color w:val="auto"/>
          <w:sz w:val="20"/>
          <w:lang w:val="pl-PL"/>
        </w:rPr>
        <w:t>§ 3 ust. 1</w:t>
      </w:r>
      <w:r w:rsidRPr="00CE0814">
        <w:rPr>
          <w:rFonts w:ascii="Verdana" w:hAnsi="Verdana" w:cs="Arial"/>
          <w:color w:val="auto"/>
          <w:sz w:val="20"/>
          <w:lang w:val="pl-PL"/>
        </w:rPr>
        <w:t xml:space="preserve"> Działu VII Szczegółowych Zasad Obrotu Giełdowego w systemie UTP.</w:t>
      </w:r>
    </w:p>
    <w:p w:rsidR="00DD4B7C" w:rsidRPr="00CE0814" w:rsidRDefault="00DD4B7C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auto"/>
          <w:sz w:val="20"/>
          <w:lang w:val="pl-PL"/>
        </w:rPr>
      </w:pPr>
      <w:r w:rsidRPr="00CE0814">
        <w:rPr>
          <w:rFonts w:ascii="Verdana" w:hAnsi="Verdana" w:cs="Arial"/>
          <w:color w:val="auto"/>
          <w:sz w:val="20"/>
          <w:lang w:val="pl-PL"/>
        </w:rPr>
        <w:t>Na listę uczestników indeksów giełdowych nie mogą być wpisane spółki, których akcje zostały zakwalifikowane do segment</w:t>
      </w:r>
      <w:r w:rsidR="00685FBC" w:rsidRPr="00CE0814">
        <w:rPr>
          <w:rFonts w:ascii="Verdana" w:hAnsi="Verdana" w:cs="Arial"/>
          <w:color w:val="auto"/>
          <w:sz w:val="20"/>
          <w:lang w:val="pl-PL"/>
        </w:rPr>
        <w:t>u</w:t>
      </w:r>
      <w:r w:rsidRPr="00CE0814">
        <w:rPr>
          <w:rFonts w:ascii="Verdana" w:hAnsi="Verdana" w:cs="Arial"/>
          <w:color w:val="auto"/>
          <w:sz w:val="20"/>
          <w:lang w:val="pl-PL"/>
        </w:rPr>
        <w:t xml:space="preserve"> rynku regulowanego LISTA ALERTÓW lub zakwalifikowane do Strefy Niższej Płynności.</w:t>
      </w:r>
    </w:p>
    <w:p w:rsidR="00DD4B7C" w:rsidRPr="00CE0814" w:rsidRDefault="00DD4B7C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color w:val="auto"/>
          <w:sz w:val="20"/>
          <w:lang w:val="pl-PL"/>
        </w:rPr>
        <w:t xml:space="preserve">W przypadku zakwalifikowania akcji do </w:t>
      </w:r>
      <w:r w:rsidR="00685FBC" w:rsidRPr="00CE0814">
        <w:rPr>
          <w:rFonts w:ascii="Verdana" w:hAnsi="Verdana" w:cs="Arial"/>
          <w:color w:val="auto"/>
          <w:sz w:val="20"/>
          <w:lang w:val="pl-PL"/>
        </w:rPr>
        <w:t>segmentu rynku regulowanego LISTA ALERTÓW</w:t>
      </w:r>
      <w:r w:rsidRPr="00CE0814">
        <w:rPr>
          <w:rFonts w:ascii="Verdana" w:hAnsi="Verdana" w:cs="Arial"/>
          <w:color w:val="auto"/>
          <w:sz w:val="20"/>
          <w:lang w:val="pl-PL"/>
        </w:rPr>
        <w:t xml:space="preserve"> lub zakwalifikowania do Strefy Niższej Płynności, spółka zostaje skreślona z listy uczestników indeksów giełdowych.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2826DC" w:rsidRPr="00CE0814" w:rsidRDefault="002826D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lastRenderedPageBreak/>
        <w:t>Oddział 2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Zasady obliczania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2 </w:t>
      </w:r>
    </w:p>
    <w:p w:rsidR="00DD4B7C" w:rsidRPr="00CE0814" w:rsidRDefault="00DD4B7C" w:rsidP="00DD4B7C">
      <w:pPr>
        <w:pStyle w:val="Tekstpodstawowy1"/>
        <w:numPr>
          <w:ilvl w:val="0"/>
          <w:numId w:val="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Indeksy giełdowe obliczane są na podstawie następującego wzoru: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</w:rPr>
        <w:t xml:space="preserve">                     </w:t>
      </w:r>
      <w:r w:rsidRPr="00CE0814">
        <w:rPr>
          <w:rFonts w:ascii="Verdana" w:hAnsi="Verdana" w:cs="Arial"/>
          <w:sz w:val="20"/>
          <w:lang w:val="de-DE"/>
        </w:rPr>
        <w:t>M(t)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  <w:lang w:val="de-DE"/>
        </w:rPr>
      </w:pPr>
      <w:proofErr w:type="spellStart"/>
      <w:r w:rsidRPr="00CE0814">
        <w:rPr>
          <w:rFonts w:ascii="Verdana" w:hAnsi="Verdana" w:cs="Arial"/>
          <w:sz w:val="20"/>
          <w:lang w:val="de-DE"/>
        </w:rPr>
        <w:t>Indeks</w:t>
      </w:r>
      <w:proofErr w:type="spellEnd"/>
      <w:r w:rsidRPr="00CE0814">
        <w:rPr>
          <w:rFonts w:ascii="Verdana" w:hAnsi="Verdana" w:cs="Arial"/>
          <w:sz w:val="20"/>
          <w:lang w:val="de-DE"/>
        </w:rPr>
        <w:t xml:space="preserve">(t) =  ——————  * </w:t>
      </w:r>
      <w:proofErr w:type="spellStart"/>
      <w:r w:rsidRPr="00CE0814">
        <w:rPr>
          <w:rFonts w:ascii="Verdana" w:hAnsi="Verdana" w:cs="Arial"/>
          <w:sz w:val="20"/>
          <w:lang w:val="de-DE"/>
        </w:rPr>
        <w:t>Indeks</w:t>
      </w:r>
      <w:proofErr w:type="spellEnd"/>
      <w:r w:rsidRPr="00CE0814">
        <w:rPr>
          <w:rFonts w:ascii="Verdana" w:hAnsi="Verdana" w:cs="Arial"/>
          <w:sz w:val="20"/>
          <w:lang w:val="de-DE"/>
        </w:rPr>
        <w:t>(0)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            </w:t>
      </w:r>
      <w:r w:rsidRPr="00CE0814">
        <w:rPr>
          <w:rFonts w:ascii="Verdana" w:hAnsi="Verdana" w:cs="Arial"/>
          <w:sz w:val="20"/>
        </w:rPr>
        <w:t>M(0) * K(t)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CE0814" w:rsidRDefault="00DD4B7C" w:rsidP="00DD4B7C">
      <w:pPr>
        <w:pStyle w:val="Tekstpodstawowy"/>
        <w:tabs>
          <w:tab w:val="clear" w:pos="1440"/>
          <w:tab w:val="left" w:pos="1560"/>
        </w:tabs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Indeks(t)</w:t>
      </w:r>
      <w:r w:rsidRPr="00CE0814">
        <w:rPr>
          <w:rFonts w:ascii="Verdana" w:hAnsi="Verdana" w:cs="Arial"/>
          <w:sz w:val="20"/>
        </w:rPr>
        <w:tab/>
        <w:t>- wartość indeksu na sesji „t”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M(t)  </w:t>
      </w:r>
      <w:r w:rsidRPr="00CE0814">
        <w:rPr>
          <w:rFonts w:ascii="Verdana" w:hAnsi="Verdana" w:cs="Arial"/>
          <w:sz w:val="20"/>
        </w:rPr>
        <w:tab/>
        <w:t xml:space="preserve">  - kapitalizacja portfela indeksu na sesji „t” 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M(0) </w:t>
      </w:r>
      <w:r w:rsidRPr="00CE0814">
        <w:rPr>
          <w:rFonts w:ascii="Verdana" w:hAnsi="Verdana" w:cs="Arial"/>
          <w:sz w:val="20"/>
        </w:rPr>
        <w:tab/>
        <w:t xml:space="preserve">  - kapitalizacja portfela indeksu w dniu bazowym</w:t>
      </w:r>
    </w:p>
    <w:p w:rsidR="00DD4B7C" w:rsidRPr="00CE0814" w:rsidRDefault="00DD4B7C" w:rsidP="00DD4B7C">
      <w:pPr>
        <w:pStyle w:val="Tekstpodstawowy"/>
        <w:tabs>
          <w:tab w:val="clear" w:pos="1440"/>
          <w:tab w:val="left" w:pos="1560"/>
        </w:tabs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Indeks(0)</w:t>
      </w:r>
      <w:r w:rsidRPr="00CE0814">
        <w:rPr>
          <w:rFonts w:ascii="Verdana" w:hAnsi="Verdana" w:cs="Arial"/>
          <w:sz w:val="20"/>
        </w:rPr>
        <w:tab/>
        <w:t>- wartość indeksu w dniu bazowym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K(t)   </w:t>
      </w:r>
      <w:r w:rsidRPr="00CE0814">
        <w:rPr>
          <w:rFonts w:ascii="Verdana" w:hAnsi="Verdana" w:cs="Arial"/>
          <w:sz w:val="20"/>
        </w:rPr>
        <w:tab/>
        <w:t xml:space="preserve">  -  współczynnik korygujący indeksu na sesji „t” </w:t>
      </w:r>
    </w:p>
    <w:p w:rsidR="00DD4B7C" w:rsidRPr="00CE0814" w:rsidRDefault="00DD4B7C" w:rsidP="00DD4B7C">
      <w:pPr>
        <w:pStyle w:val="Tekstpodstawowy1"/>
        <w:numPr>
          <w:ilvl w:val="0"/>
          <w:numId w:val="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Do obliczania wartości indeksów giełdowych wykorzystuje się wyrażone w złotych kursy ostatnich transakcji akcjami na sesji, a jeżeli takich nie było to kursy odniesienia.</w:t>
      </w:r>
    </w:p>
    <w:p w:rsidR="00DD4B7C" w:rsidRPr="00CE0814" w:rsidRDefault="00DD4B7C" w:rsidP="00DD4B7C">
      <w:pPr>
        <w:pStyle w:val="Tekstpodstawowy1"/>
        <w:numPr>
          <w:ilvl w:val="0"/>
          <w:numId w:val="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i kurs akcji spółki wchodzącej w skład portfeli indeksów ulega zmianie automatycznie w przypadku obniżenia lub podwyższenia wartości nominalnej akcji.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3 </w:t>
      </w:r>
    </w:p>
    <w:p w:rsidR="00DD4B7C" w:rsidRPr="00CE0814" w:rsidRDefault="00DD4B7C" w:rsidP="00692C24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Pakiet (liczba) akcji spółki wchodzący w skład portfeli indeksów stanowią wszystkie akcje w wolnym obrocie, w liczbie nie większej niż liczba akcji wprowadzonych </w:t>
      </w:r>
      <w:r w:rsidR="002826DC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 xml:space="preserve">do obrotu giełdowego. </w:t>
      </w:r>
    </w:p>
    <w:p w:rsidR="00DD4B7C" w:rsidRPr="00CE0814" w:rsidRDefault="00DD4B7C" w:rsidP="00692C24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Z zastrzeżeniem przypadków przewidzianych w przepisach niniejszego załącznika, wielkość pakietu akcji danego uczestnika indeksu podlega </w:t>
      </w:r>
      <w:r w:rsidR="005B6664" w:rsidRPr="00CE0814">
        <w:rPr>
          <w:rFonts w:ascii="Verdana" w:hAnsi="Verdana" w:cs="Arial"/>
          <w:sz w:val="20"/>
        </w:rPr>
        <w:t xml:space="preserve">zmianie </w:t>
      </w:r>
      <w:r w:rsidRPr="00CE0814">
        <w:rPr>
          <w:rFonts w:ascii="Verdana" w:hAnsi="Verdana" w:cs="Arial"/>
          <w:sz w:val="20"/>
        </w:rPr>
        <w:t xml:space="preserve">w przypadku, gdy liczba akcji w wolnym obrocie tego uczestnika stanowiąca podstawę wyznaczenia tego pakietu zwiększy się </w:t>
      </w:r>
      <w:r w:rsidR="0051437B" w:rsidRPr="00CE0814">
        <w:rPr>
          <w:rFonts w:ascii="Verdana" w:hAnsi="Verdana" w:cs="Arial"/>
          <w:sz w:val="20"/>
        </w:rPr>
        <w:t xml:space="preserve">lub zmniejszy </w:t>
      </w:r>
      <w:r w:rsidRPr="00CE0814">
        <w:rPr>
          <w:rFonts w:ascii="Verdana" w:hAnsi="Verdana" w:cs="Arial"/>
          <w:sz w:val="20"/>
        </w:rPr>
        <w:t>o liczbę akcji, których równowartość w złotych wynosi co najmniej 250 mln euro.</w:t>
      </w:r>
    </w:p>
    <w:p w:rsidR="00DD4B7C" w:rsidRPr="00CE0814" w:rsidRDefault="00DD4B7C" w:rsidP="00692C24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Wielkość pakietu akcji znajdujących się w portfelach indeksów po rewizji, korekcie lub korekcie nadzwyczajnej jest zaokrąglana do pełnych tysięcy akcji.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4</w:t>
      </w:r>
    </w:p>
    <w:p w:rsidR="00DD4B7C" w:rsidRPr="00CE0814" w:rsidRDefault="00DD4B7C" w:rsidP="00692C24">
      <w:pPr>
        <w:pStyle w:val="Tekstpodstawowy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 celu zachowania ciągłości wartości indeksów giełdowych podczas rewizji, korekty lub korekty nadzwyczajnej stosuje się współczynnik korygujący.</w:t>
      </w:r>
    </w:p>
    <w:p w:rsidR="00DD4B7C" w:rsidRPr="00CE0814" w:rsidRDefault="00DD4B7C" w:rsidP="00692C24">
      <w:pPr>
        <w:pStyle w:val="Tekstpodstawowy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lastRenderedPageBreak/>
        <w:t>Współczynnik korygujący obowiązujący na następnej sesji po rewizji, korekcie lub korekcie nadzwyczajnej jest obliczany na podstawie następującego wzoru: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  <w:t xml:space="preserve">              M(t’)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K(t+1)  =   ————— * K(t)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  <w:t xml:space="preserve">              M(t)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CE0814" w:rsidRDefault="00DD4B7C" w:rsidP="00D41ED4">
      <w:pPr>
        <w:pStyle w:val="Tekstpodstawowy"/>
        <w:tabs>
          <w:tab w:val="clear" w:pos="720"/>
          <w:tab w:val="left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M(t’) - kapitalizacja portfela indeksu po rewizji, korekcie lub korekcie nadzwyczajnej obliczana na podstawie ostatniego kursu</w:t>
      </w:r>
    </w:p>
    <w:p w:rsidR="00DD4B7C" w:rsidRPr="00CE0814" w:rsidRDefault="00DD4B7C" w:rsidP="00DD4B7C">
      <w:pPr>
        <w:pStyle w:val="Tekstpodstawowy"/>
        <w:spacing w:line="360" w:lineRule="auto"/>
        <w:ind w:left="709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M(t) - kapitalizacja portfela indeksu zamknięcia przed rewizją, korektą lub korektą nadzwyczajną </w:t>
      </w:r>
    </w:p>
    <w:p w:rsidR="00DD4B7C" w:rsidRPr="00CE0814" w:rsidRDefault="00DD4B7C" w:rsidP="00DD4B7C">
      <w:pPr>
        <w:pStyle w:val="Tekstpodstawowy"/>
        <w:tabs>
          <w:tab w:val="clear" w:pos="720"/>
          <w:tab w:val="left" w:pos="709"/>
        </w:tabs>
        <w:spacing w:line="360" w:lineRule="auto"/>
        <w:ind w:left="709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K(t) - dotychczasowa wartość współczynnika korygującego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K(t+1) - nowa wartość współczynnika korygującego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3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Zasady publikacji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5 </w:t>
      </w:r>
    </w:p>
    <w:p w:rsidR="00DD4B7C" w:rsidRPr="00CE0814" w:rsidRDefault="00DD4B7C" w:rsidP="00692C24">
      <w:pPr>
        <w:pStyle w:val="Tekstpodstawowy"/>
        <w:numPr>
          <w:ilvl w:val="0"/>
          <w:numId w:val="19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Wartości otwarcia indeksów giełdowych obliczanych w trybie ciągłym podawane </w:t>
      </w:r>
      <w:r w:rsidR="002826DC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>są do publicznej wiadomości po osiągnięciu przez wskaźnik otwarcia W wartości 65%, ale nie później niż w godzinę od rozpoczęcia sesji.</w:t>
      </w:r>
    </w:p>
    <w:p w:rsidR="00DD4B7C" w:rsidRPr="00CE0814" w:rsidRDefault="00DD4B7C" w:rsidP="002826DC">
      <w:pPr>
        <w:pStyle w:val="Tekstpodstawowy"/>
        <w:numPr>
          <w:ilvl w:val="0"/>
          <w:numId w:val="19"/>
        </w:numPr>
        <w:tabs>
          <w:tab w:val="clear" w:pos="720"/>
          <w:tab w:val="clear" w:pos="8640"/>
          <w:tab w:val="num" w:pos="284"/>
          <w:tab w:val="left" w:pos="8505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Wskaźnik otwarcia W obliczany jest jako relacja bieżącej wartość pakietów akcji, </w:t>
      </w:r>
      <w:r w:rsidR="002826DC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>dla których zawarto transakcje podczas sesji do bieżącej kapitalizacji portfela indeksu.</w:t>
      </w:r>
    </w:p>
    <w:p w:rsidR="00DD4B7C" w:rsidRPr="00CE0814" w:rsidRDefault="00930DB3" w:rsidP="002826DC">
      <w:pPr>
        <w:pStyle w:val="Tekstpodstawowy1"/>
        <w:numPr>
          <w:ilvl w:val="0"/>
          <w:numId w:val="1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62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Po ogłoszeniu wartości otwarcia, kolejne wartości indeksów obliczanych </w:t>
      </w:r>
      <w:r w:rsidRPr="00CE0814">
        <w:rPr>
          <w:rFonts w:ascii="Verdana" w:hAnsi="Verdana" w:cs="Arial"/>
          <w:sz w:val="20"/>
          <w:lang w:val="pl-PL"/>
        </w:rPr>
        <w:br/>
        <w:t>w trybie ciągłym podawane są do publicznej wiadomości zgodnie z poniższym harmonogramem: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0"/>
        <w:gridCol w:w="4961"/>
      </w:tblGrid>
      <w:tr w:rsidR="00930DB3" w:rsidRPr="00CE0814" w:rsidTr="0095128E">
        <w:trPr>
          <w:trHeight w:val="1015"/>
        </w:trPr>
        <w:tc>
          <w:tcPr>
            <w:tcW w:w="3260" w:type="dxa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WIG20, mWIG40, 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Arial"/>
                <w:sz w:val="20"/>
                <w:szCs w:val="20"/>
                <w:lang w:val="en-US"/>
              </w:rPr>
              <w:t>WIG.MS-BAS, WIG.MS-FIN, WIG.GAMES, WIG.MS-PET</w:t>
            </w:r>
          </w:p>
        </w:tc>
        <w:tc>
          <w:tcPr>
            <w:tcW w:w="4961" w:type="dxa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Co 15 sekund</w:t>
            </w:r>
          </w:p>
        </w:tc>
      </w:tr>
      <w:tr w:rsidR="00930DB3" w:rsidRPr="00CE0814" w:rsidTr="0095128E">
        <w:tc>
          <w:tcPr>
            <w:tcW w:w="3260" w:type="dxa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 xml:space="preserve">sWIG80, WIG30, 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 xml:space="preserve">WIG, </w:t>
            </w:r>
            <w:proofErr w:type="spellStart"/>
            <w:r w:rsidRPr="00CE0814">
              <w:rPr>
                <w:rFonts w:ascii="Verdana" w:hAnsi="Verdana" w:cs="Arial"/>
                <w:sz w:val="20"/>
                <w:szCs w:val="20"/>
              </w:rPr>
              <w:t>WIGdiv</w:t>
            </w:r>
            <w:proofErr w:type="spellEnd"/>
            <w:r w:rsidRPr="00CE0814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0814">
              <w:rPr>
                <w:rFonts w:ascii="Verdana" w:hAnsi="Verdana" w:cs="Arial"/>
                <w:sz w:val="20"/>
                <w:szCs w:val="20"/>
              </w:rPr>
              <w:t>subindeksy</w:t>
            </w:r>
            <w:proofErr w:type="spellEnd"/>
            <w:r w:rsidRPr="00CE0814">
              <w:rPr>
                <w:rFonts w:ascii="Verdana" w:hAnsi="Verdana" w:cs="Arial"/>
                <w:sz w:val="20"/>
                <w:szCs w:val="20"/>
              </w:rPr>
              <w:t xml:space="preserve"> sektorowe WIG</w:t>
            </w:r>
          </w:p>
        </w:tc>
        <w:tc>
          <w:tcPr>
            <w:tcW w:w="4961" w:type="dxa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Co 60 sekund</w:t>
            </w:r>
          </w:p>
        </w:tc>
      </w:tr>
      <w:tr w:rsidR="00930DB3" w:rsidRPr="00CE0814" w:rsidTr="0095128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3" w:rsidRPr="00CE0814" w:rsidDel="00F2102D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CE0814">
              <w:rPr>
                <w:rFonts w:ascii="Verdana" w:hAnsi="Verdana" w:cs="Arial"/>
                <w:sz w:val="20"/>
                <w:szCs w:val="20"/>
                <w:lang w:val="en-GB"/>
              </w:rPr>
              <w:t>WIG20TR, mWIG40TR, sWIG80TR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Co 5 minut</w:t>
            </w:r>
          </w:p>
        </w:tc>
      </w:tr>
    </w:tbl>
    <w:p w:rsidR="00DD4B7C" w:rsidRPr="00CE0814" w:rsidRDefault="00DD4B7C" w:rsidP="00DD4B7C">
      <w:pPr>
        <w:pStyle w:val="Tekstpodstawowy"/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lastRenderedPageBreak/>
        <w:t xml:space="preserve">§ 6 </w:t>
      </w:r>
    </w:p>
    <w:p w:rsidR="00DD4B7C" w:rsidRPr="00CE0814" w:rsidRDefault="00DD4B7C" w:rsidP="00692C2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Wartości otwarcia indeksów giełdowych obliczanych w trybie jednolitym podawane są  do publicznej wiadomości po osiągnięciu przez wskaźnik otwarcia W wartości 65%. W</w:t>
      </w:r>
      <w:r w:rsidR="00F72220" w:rsidRPr="00CE0814">
        <w:rPr>
          <w:rFonts w:ascii="Verdana" w:hAnsi="Verdana" w:cs="Arial"/>
          <w:sz w:val="20"/>
        </w:rPr>
        <w:t> </w:t>
      </w:r>
      <w:r w:rsidRPr="00CE0814">
        <w:rPr>
          <w:rFonts w:ascii="Verdana" w:hAnsi="Verdana" w:cs="Arial"/>
          <w:sz w:val="20"/>
        </w:rPr>
        <w:t>przeciwnym razie wartość otwarcia równa się wartości zamknięcia.</w:t>
      </w:r>
    </w:p>
    <w:p w:rsidR="00DD4B7C" w:rsidRPr="00CE0814" w:rsidRDefault="00DD4B7C" w:rsidP="00692C2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Wskaźnik otwarcia W obliczany jest jako relacja bieżącej wartość pakietów akcji, dla których zawarto transakcje podczas sesji do bieżącej kapitalizacji portfela indeksu.</w:t>
      </w:r>
    </w:p>
    <w:p w:rsidR="00DD4B7C" w:rsidRPr="00CE0814" w:rsidRDefault="00DD4B7C" w:rsidP="00692C24">
      <w:pPr>
        <w:pStyle w:val="Tekstpodstawowy1"/>
        <w:numPr>
          <w:ilvl w:val="0"/>
          <w:numId w:val="2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Wartości indeksów obliczanych w trybie jednolitym podawane są do publicznej wiadomości zgodnie z poniższym harmonogramem:</w:t>
      </w:r>
    </w:p>
    <w:tbl>
      <w:tblPr>
        <w:tblW w:w="814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43"/>
        <w:gridCol w:w="5103"/>
      </w:tblGrid>
      <w:tr w:rsidR="00DD4B7C" w:rsidRPr="00CE0814" w:rsidTr="004440B8">
        <w:tc>
          <w:tcPr>
            <w:tcW w:w="3043" w:type="dxa"/>
            <w:vAlign w:val="center"/>
          </w:tcPr>
          <w:p w:rsidR="00C55789" w:rsidRPr="00CE0814" w:rsidRDefault="00531CF7" w:rsidP="005822F2">
            <w:pPr>
              <w:pStyle w:val="Tekstpodstawowy"/>
              <w:tabs>
                <w:tab w:val="clear" w:pos="720"/>
                <w:tab w:val="clear" w:pos="2880"/>
                <w:tab w:val="left" w:pos="3261"/>
              </w:tabs>
              <w:spacing w:beforeLines="40" w:before="96" w:afterLines="40" w:after="96" w:line="36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CE0814">
              <w:rPr>
                <w:rFonts w:ascii="Verdana" w:hAnsi="Verdana" w:cs="Arial"/>
                <w:sz w:val="20"/>
                <w:lang w:val="en-US"/>
              </w:rPr>
              <w:t xml:space="preserve">WIG30TR, </w:t>
            </w:r>
          </w:p>
          <w:p w:rsidR="00C55789" w:rsidRPr="00CE0814" w:rsidRDefault="00DD4B7C" w:rsidP="005822F2">
            <w:pPr>
              <w:pStyle w:val="Tekstpodstawowy"/>
              <w:tabs>
                <w:tab w:val="clear" w:pos="720"/>
                <w:tab w:val="clear" w:pos="2880"/>
                <w:tab w:val="left" w:pos="3261"/>
              </w:tabs>
              <w:spacing w:beforeLines="40" w:before="96" w:afterLines="40" w:after="96" w:line="360" w:lineRule="auto"/>
              <w:jc w:val="left"/>
              <w:rPr>
                <w:rFonts w:ascii="Verdana" w:hAnsi="Verdana" w:cs="Arial"/>
                <w:color w:val="auto"/>
                <w:sz w:val="20"/>
                <w:lang w:val="en-US"/>
              </w:rPr>
            </w:pPr>
            <w:r w:rsidRPr="00CE0814">
              <w:rPr>
                <w:rFonts w:ascii="Verdana" w:hAnsi="Verdana" w:cs="Arial"/>
                <w:color w:val="auto"/>
                <w:sz w:val="20"/>
                <w:lang w:val="en-US"/>
              </w:rPr>
              <w:t xml:space="preserve">WIG-Poland, </w:t>
            </w:r>
          </w:p>
          <w:p w:rsidR="00DD4B7C" w:rsidRPr="00CE0814" w:rsidRDefault="00DD4B7C" w:rsidP="005822F2">
            <w:pPr>
              <w:pStyle w:val="Tekstpodstawowy"/>
              <w:tabs>
                <w:tab w:val="clear" w:pos="720"/>
                <w:tab w:val="clear" w:pos="2880"/>
                <w:tab w:val="left" w:pos="3261"/>
              </w:tabs>
              <w:spacing w:beforeLines="40" w:before="96" w:afterLines="40" w:after="96" w:line="36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CE0814">
              <w:rPr>
                <w:rFonts w:ascii="Verdana" w:hAnsi="Verdana" w:cs="Arial"/>
                <w:color w:val="auto"/>
                <w:sz w:val="20"/>
                <w:lang w:val="en-US"/>
              </w:rPr>
              <w:t>WIG-Ukraine</w:t>
            </w:r>
          </w:p>
        </w:tc>
        <w:tc>
          <w:tcPr>
            <w:tcW w:w="5103" w:type="dxa"/>
            <w:vAlign w:val="center"/>
          </w:tcPr>
          <w:p w:rsidR="00967A4B" w:rsidRPr="00CE0814" w:rsidRDefault="00DD4B7C" w:rsidP="00350BA5">
            <w:pPr>
              <w:pStyle w:val="Tekstpodstawowy"/>
              <w:tabs>
                <w:tab w:val="clear" w:pos="720"/>
              </w:tabs>
              <w:spacing w:beforeLines="40" w:before="96" w:afterLines="40" w:after="96" w:line="360" w:lineRule="auto"/>
              <w:rPr>
                <w:rFonts w:ascii="Verdana" w:hAnsi="Verdana" w:cs="Arial"/>
                <w:color w:val="auto"/>
                <w:sz w:val="20"/>
              </w:rPr>
            </w:pPr>
            <w:r w:rsidRPr="00CE0814">
              <w:rPr>
                <w:rFonts w:ascii="Verdana" w:hAnsi="Verdana" w:cs="Arial"/>
                <w:color w:val="auto"/>
                <w:sz w:val="20"/>
              </w:rPr>
              <w:t xml:space="preserve">11:15 otwarcie, 15:15 po drugim </w:t>
            </w:r>
            <w:proofErr w:type="spellStart"/>
            <w:r w:rsidRPr="00CE0814">
              <w:rPr>
                <w:rFonts w:ascii="Verdana" w:hAnsi="Verdana" w:cs="Arial"/>
                <w:color w:val="auto"/>
                <w:sz w:val="20"/>
              </w:rPr>
              <w:t>fixingu</w:t>
            </w:r>
            <w:proofErr w:type="spellEnd"/>
          </w:p>
        </w:tc>
      </w:tr>
    </w:tbl>
    <w:p w:rsidR="005721B9" w:rsidRPr="00CE0814" w:rsidRDefault="005721B9" w:rsidP="00DD4B7C">
      <w:pPr>
        <w:pStyle w:val="Tekstpodstawowy"/>
        <w:tabs>
          <w:tab w:val="clear" w:pos="720"/>
        </w:tabs>
        <w:spacing w:after="120" w:line="360" w:lineRule="auto"/>
        <w:jc w:val="center"/>
        <w:rPr>
          <w:rFonts w:ascii="Verdana" w:hAnsi="Verdana" w:cs="Arial"/>
          <w:sz w:val="20"/>
        </w:rPr>
      </w:pPr>
    </w:p>
    <w:p w:rsidR="00DD4B7C" w:rsidRPr="00CE0814" w:rsidRDefault="00DD4B7C" w:rsidP="00DD4B7C">
      <w:pPr>
        <w:pStyle w:val="Tekstpodstawowy"/>
        <w:tabs>
          <w:tab w:val="clear" w:pos="720"/>
        </w:tabs>
        <w:spacing w:after="120" w:line="360" w:lineRule="auto"/>
        <w:jc w:val="center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§ 7</w:t>
      </w:r>
    </w:p>
    <w:p w:rsidR="00DD4B7C" w:rsidRPr="00CE0814" w:rsidRDefault="00DD4B7C" w:rsidP="00DD4B7C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Po zakończeniu sesji publikowane są ostateczne wartości otwarcia i zamknięcia indeksów oraz wskaźniki statystyczne zawierające podsumowanie dnia.</w:t>
      </w:r>
    </w:p>
    <w:p w:rsidR="00DD4B7C" w:rsidRPr="00CE0814" w:rsidRDefault="00DD4B7C" w:rsidP="00DD4B7C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Wartość zamknięcia indeksu jest centralną wartością dnia indeksu, w szczególności stosowaną do przeliczeń wartości współczynnika korygującego K(t).</w:t>
      </w:r>
    </w:p>
    <w:p w:rsidR="00DD4B7C" w:rsidRPr="00CE0814" w:rsidRDefault="00DD4B7C" w:rsidP="00DD4B7C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W przypadku, gdy anulowanie transakcji giełdowych wpłynęło na wartość indeksów lub </w:t>
      </w:r>
      <w:proofErr w:type="spellStart"/>
      <w:r w:rsidRPr="00CE0814">
        <w:rPr>
          <w:rFonts w:ascii="Verdana" w:hAnsi="Verdana" w:cs="Arial"/>
          <w:sz w:val="20"/>
        </w:rPr>
        <w:t>subindeksów</w:t>
      </w:r>
      <w:proofErr w:type="spellEnd"/>
      <w:r w:rsidRPr="00CE0814">
        <w:rPr>
          <w:rFonts w:ascii="Verdana" w:hAnsi="Verdana" w:cs="Arial"/>
          <w:sz w:val="20"/>
        </w:rPr>
        <w:t xml:space="preserve"> giełdowych, to po sesji giełdowej zostanie powtórnie obliczona i opublikowana wartość indeksów otwarcia, zamknięcia oraz dziennego maksimum oraz minimum tych indeksów i </w:t>
      </w:r>
      <w:proofErr w:type="spellStart"/>
      <w:r w:rsidRPr="00CE0814">
        <w:rPr>
          <w:rFonts w:ascii="Verdana" w:hAnsi="Verdana" w:cs="Arial"/>
          <w:sz w:val="20"/>
        </w:rPr>
        <w:t>subindeksów</w:t>
      </w:r>
      <w:proofErr w:type="spellEnd"/>
      <w:r w:rsidRPr="00CE0814">
        <w:rPr>
          <w:rFonts w:ascii="Verdana" w:hAnsi="Verdana" w:cs="Arial"/>
          <w:sz w:val="20"/>
        </w:rPr>
        <w:t xml:space="preserve"> giełdowych. W trakcie sesji giełdowej Giełda nie dokonuje ich powtórnego obliczania i publikacji.</w:t>
      </w:r>
    </w:p>
    <w:p w:rsidR="00DD4B7C" w:rsidRPr="00CE0814" w:rsidRDefault="00DD4B7C" w:rsidP="00DD4B7C">
      <w:pPr>
        <w:pStyle w:val="Tekstpodstawowy"/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</w:p>
    <w:p w:rsidR="00942DC6" w:rsidRPr="00CE0814" w:rsidRDefault="00942DC6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4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Zapowiedzi zmian indeksów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8 </w:t>
      </w:r>
    </w:p>
    <w:p w:rsidR="00DD4B7C" w:rsidRPr="00CE0814" w:rsidRDefault="00DD4B7C" w:rsidP="00DD4B7C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Informacje o zmianach w indeksach podawane są do publicznej wiadomości. </w:t>
      </w:r>
    </w:p>
    <w:p w:rsidR="00DD4B7C" w:rsidRPr="00CE0814" w:rsidRDefault="00930DB3" w:rsidP="00DD4B7C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Informacje o zmianach w indeksach podawane są do publicznej wiadomości zgodnie z poniższym harmonogramem: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3"/>
        <w:gridCol w:w="3260"/>
        <w:gridCol w:w="2835"/>
      </w:tblGrid>
      <w:tr w:rsidR="00930DB3" w:rsidRPr="00CE0814" w:rsidTr="0095128E">
        <w:trPr>
          <w:jc w:val="center"/>
        </w:trPr>
        <w:tc>
          <w:tcPr>
            <w:tcW w:w="2443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260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Rewizje i korekty kwartalne</w:t>
            </w:r>
          </w:p>
        </w:tc>
        <w:tc>
          <w:tcPr>
            <w:tcW w:w="2835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Korekty nadzwyczajne</w:t>
            </w:r>
          </w:p>
        </w:tc>
      </w:tr>
      <w:tr w:rsidR="00930DB3" w:rsidRPr="00CE0814" w:rsidTr="0095128E">
        <w:trPr>
          <w:jc w:val="center"/>
        </w:trPr>
        <w:tc>
          <w:tcPr>
            <w:tcW w:w="2443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WIG20, WIG20TR</w:t>
            </w:r>
            <w:r w:rsidRPr="00CE0814">
              <w:rPr>
                <w:sz w:val="16"/>
                <w:szCs w:val="16"/>
              </w:rPr>
              <w:t xml:space="preserve">, </w:t>
            </w:r>
            <w:r w:rsidRPr="00CE0814">
              <w:rPr>
                <w:rFonts w:ascii="Verdana" w:hAnsi="Verdana" w:cs="Arial"/>
                <w:sz w:val="20"/>
                <w:szCs w:val="20"/>
              </w:rPr>
              <w:t xml:space="preserve">mWIG40, mWIG40TR, sWIG80, sWIG80TR, WIG30, WIG30TR </w:t>
            </w:r>
          </w:p>
        </w:tc>
        <w:tc>
          <w:tcPr>
            <w:tcW w:w="3260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Co najmniej 2 tygodnie przed ich przeprowadzeniem</w:t>
            </w:r>
          </w:p>
        </w:tc>
        <w:tc>
          <w:tcPr>
            <w:tcW w:w="2835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 xml:space="preserve">2 dni przed ich przeprowadzeniem, 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 xml:space="preserve">a w przypadkach określonych w § 13a, </w:t>
            </w:r>
            <w:r w:rsidRPr="00CE0814">
              <w:rPr>
                <w:rFonts w:ascii="Verdana" w:hAnsi="Verdana" w:cs="Arial"/>
                <w:sz w:val="20"/>
                <w:szCs w:val="20"/>
              </w:rPr>
              <w:br/>
              <w:t>§ 17a i § 21a - niezwłocznie</w:t>
            </w:r>
          </w:p>
        </w:tc>
      </w:tr>
      <w:tr w:rsidR="00930DB3" w:rsidRPr="00CE0814" w:rsidTr="0095128E">
        <w:trPr>
          <w:jc w:val="center"/>
        </w:trPr>
        <w:tc>
          <w:tcPr>
            <w:tcW w:w="2443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WIG.MS-BAS, WIG.MS-FIN, WIG.GAMES, 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Arial"/>
                <w:sz w:val="20"/>
                <w:szCs w:val="20"/>
                <w:lang w:val="en-US"/>
              </w:rPr>
              <w:t>WIG.MS-PET</w:t>
            </w:r>
          </w:p>
        </w:tc>
        <w:tc>
          <w:tcPr>
            <w:tcW w:w="3260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Co najmniej 1 tydzień przed ich przeprowadzeniem</w:t>
            </w:r>
          </w:p>
        </w:tc>
        <w:tc>
          <w:tcPr>
            <w:tcW w:w="2835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 xml:space="preserve">2 dni przed ich przeprowadzeniem, 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a w przypadkach określonych w § 45 – niezwłocznie</w:t>
            </w:r>
          </w:p>
        </w:tc>
      </w:tr>
      <w:tr w:rsidR="00930DB3" w:rsidRPr="00CE0814" w:rsidTr="0095128E">
        <w:trPr>
          <w:trHeight w:val="183"/>
          <w:jc w:val="center"/>
        </w:trPr>
        <w:tc>
          <w:tcPr>
            <w:tcW w:w="2443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WIG, WIG-Poland, WIG-</w:t>
            </w:r>
            <w:proofErr w:type="spellStart"/>
            <w:r w:rsidRPr="00CE0814">
              <w:rPr>
                <w:rFonts w:ascii="Verdana" w:hAnsi="Verdana" w:cs="Arial"/>
                <w:sz w:val="20"/>
                <w:szCs w:val="20"/>
              </w:rPr>
              <w:t>Ukraine</w:t>
            </w:r>
            <w:proofErr w:type="spellEnd"/>
            <w:r w:rsidRPr="00CE0814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CE0814">
              <w:rPr>
                <w:rFonts w:ascii="Verdana" w:hAnsi="Verdana" w:cs="Arial"/>
                <w:sz w:val="20"/>
                <w:szCs w:val="20"/>
              </w:rPr>
              <w:t>subindeksy</w:t>
            </w:r>
            <w:proofErr w:type="spellEnd"/>
            <w:r w:rsidRPr="00CE0814">
              <w:rPr>
                <w:rFonts w:ascii="Verdana" w:hAnsi="Verdana" w:cs="Arial"/>
                <w:sz w:val="20"/>
                <w:szCs w:val="20"/>
              </w:rPr>
              <w:t xml:space="preserve"> sektorowe, </w:t>
            </w:r>
            <w:proofErr w:type="spellStart"/>
            <w:r w:rsidRPr="00CE0814">
              <w:rPr>
                <w:rFonts w:ascii="Verdana" w:hAnsi="Verdana" w:cs="Arial"/>
                <w:sz w:val="20"/>
                <w:szCs w:val="20"/>
              </w:rPr>
              <w:t>WIGdiv</w:t>
            </w:r>
            <w:proofErr w:type="spellEnd"/>
            <w:r w:rsidRPr="00CE0814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Co najmniej 1 tydzień przed ich przeprowadzeniem</w:t>
            </w:r>
          </w:p>
        </w:tc>
        <w:tc>
          <w:tcPr>
            <w:tcW w:w="2835" w:type="dxa"/>
            <w:vAlign w:val="center"/>
          </w:tcPr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CE0814">
              <w:rPr>
                <w:rFonts w:ascii="Verdana" w:hAnsi="Verdana" w:cs="Arial"/>
                <w:sz w:val="20"/>
                <w:szCs w:val="20"/>
              </w:rPr>
              <w:t>Niezwłocznie</w:t>
            </w: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  <w:p w:rsidR="00930DB3" w:rsidRPr="00CE0814" w:rsidRDefault="00930DB3" w:rsidP="0095128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D4B7C" w:rsidRPr="00CE0814" w:rsidRDefault="00DD4B7C" w:rsidP="00930DB3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ROZDZIAŁ II</w:t>
      </w:r>
    </w:p>
    <w:p w:rsidR="00531CF7" w:rsidRPr="00CE0814" w:rsidRDefault="00DD4B7C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Szczegółowe zasady konstrukcji indeksów WIG20, </w:t>
      </w:r>
      <w:r w:rsidR="009574A6" w:rsidRPr="00CE0814">
        <w:rPr>
          <w:rFonts w:ascii="Verdana" w:hAnsi="Verdana" w:cs="Arial"/>
          <w:sz w:val="20"/>
          <w:lang w:val="pl-PL"/>
        </w:rPr>
        <w:t>WIG20TR</w:t>
      </w:r>
      <w:r w:rsidR="0027154E" w:rsidRPr="00CE0814">
        <w:rPr>
          <w:rFonts w:ascii="Verdana" w:hAnsi="Verdana" w:cs="Arial"/>
          <w:sz w:val="20"/>
          <w:lang w:val="pl-PL"/>
        </w:rPr>
        <w:t>,</w:t>
      </w:r>
      <w:r w:rsidRPr="00CE0814">
        <w:rPr>
          <w:rFonts w:ascii="Verdana" w:hAnsi="Verdana" w:cs="Arial"/>
          <w:sz w:val="20"/>
          <w:lang w:val="pl-PL"/>
        </w:rPr>
        <w:t xml:space="preserve"> mWIG40</w:t>
      </w:r>
      <w:r w:rsidR="004440B8" w:rsidRPr="00CE0814">
        <w:rPr>
          <w:rFonts w:ascii="Verdana" w:hAnsi="Verdana" w:cs="Arial"/>
          <w:sz w:val="20"/>
          <w:lang w:val="pl-PL"/>
        </w:rPr>
        <w:t>, mWIG40TR</w:t>
      </w:r>
      <w:r w:rsidR="00291D86" w:rsidRPr="00CE0814">
        <w:rPr>
          <w:rFonts w:ascii="Verdana" w:hAnsi="Verdana" w:cs="Arial"/>
          <w:sz w:val="20"/>
          <w:lang w:val="pl-PL"/>
        </w:rPr>
        <w:t xml:space="preserve">, </w:t>
      </w:r>
      <w:r w:rsidR="0000039E" w:rsidRPr="00CE0814">
        <w:rPr>
          <w:rFonts w:ascii="Verdana" w:hAnsi="Verdana" w:cs="Arial"/>
          <w:sz w:val="20"/>
          <w:lang w:val="pl-PL"/>
        </w:rPr>
        <w:t>sWIG80</w:t>
      </w:r>
      <w:r w:rsidR="004440B8" w:rsidRPr="00CE0814">
        <w:rPr>
          <w:rFonts w:ascii="Verdana" w:hAnsi="Verdana" w:cs="Arial"/>
          <w:sz w:val="20"/>
          <w:lang w:val="pl-PL"/>
        </w:rPr>
        <w:t xml:space="preserve"> </w:t>
      </w:r>
      <w:r w:rsidR="00291D86" w:rsidRPr="00CE0814">
        <w:rPr>
          <w:rFonts w:ascii="Verdana" w:hAnsi="Verdana" w:cs="Arial"/>
          <w:sz w:val="20"/>
          <w:lang w:val="pl-PL"/>
        </w:rPr>
        <w:t xml:space="preserve">i sWIG80TR </w:t>
      </w:r>
      <w:r w:rsidR="00531CF7" w:rsidRPr="00CE0814">
        <w:rPr>
          <w:rFonts w:ascii="Verdana" w:hAnsi="Verdana" w:cs="Arial"/>
          <w:sz w:val="20"/>
          <w:lang w:val="pl-PL"/>
        </w:rPr>
        <w:t xml:space="preserve">oraz </w:t>
      </w:r>
      <w:r w:rsidR="00F3648A" w:rsidRPr="00CE0814">
        <w:rPr>
          <w:rFonts w:ascii="Verdana" w:hAnsi="Verdana" w:cs="Arial"/>
          <w:sz w:val="20"/>
          <w:lang w:val="pl-PL"/>
        </w:rPr>
        <w:t xml:space="preserve">indeksów </w:t>
      </w:r>
      <w:r w:rsidR="00531CF7" w:rsidRPr="00CE0814">
        <w:rPr>
          <w:rFonts w:ascii="Verdana" w:hAnsi="Verdana" w:cs="Arial"/>
          <w:sz w:val="20"/>
          <w:lang w:val="pl-PL"/>
        </w:rPr>
        <w:t>WIG30 i WIG30TR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1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Ranking indeksów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9 </w:t>
      </w:r>
    </w:p>
    <w:p w:rsidR="00DD4B7C" w:rsidRPr="00CE0814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Ranking indeksów służy dokonywaniu zmian w portf</w:t>
      </w:r>
      <w:r w:rsidR="00C80C90" w:rsidRPr="00CE0814">
        <w:rPr>
          <w:rFonts w:ascii="Verdana" w:hAnsi="Verdana" w:cs="Arial"/>
          <w:sz w:val="20"/>
          <w:lang w:val="pl-PL"/>
        </w:rPr>
        <w:t>elach indeksów w wyniku rewizji</w:t>
      </w:r>
      <w:r w:rsidRPr="00CE0814">
        <w:rPr>
          <w:rFonts w:ascii="Verdana" w:hAnsi="Verdana" w:cs="Arial"/>
          <w:sz w:val="20"/>
          <w:lang w:val="pl-PL"/>
        </w:rPr>
        <w:t xml:space="preserve"> </w:t>
      </w:r>
      <w:r w:rsidR="00C80C90" w:rsidRPr="00CE0814">
        <w:rPr>
          <w:rFonts w:ascii="Verdana" w:hAnsi="Verdana" w:cs="Arial"/>
          <w:sz w:val="20"/>
          <w:lang w:val="pl-PL"/>
        </w:rPr>
        <w:t xml:space="preserve">lub </w:t>
      </w:r>
      <w:r w:rsidRPr="00CE0814">
        <w:rPr>
          <w:rFonts w:ascii="Verdana" w:hAnsi="Verdana" w:cs="Arial"/>
          <w:sz w:val="20"/>
          <w:lang w:val="pl-PL"/>
        </w:rPr>
        <w:t xml:space="preserve">korekty </w:t>
      </w:r>
      <w:r w:rsidR="00BA2EE8" w:rsidRPr="00CE0814">
        <w:rPr>
          <w:rFonts w:ascii="Verdana" w:hAnsi="Verdana" w:cs="Arial"/>
          <w:sz w:val="20"/>
          <w:lang w:val="pl-PL"/>
        </w:rPr>
        <w:t>kwartalnej</w:t>
      </w:r>
      <w:r w:rsidRPr="00CE0814">
        <w:rPr>
          <w:rFonts w:ascii="Verdana" w:hAnsi="Verdana" w:cs="Arial"/>
          <w:sz w:val="20"/>
          <w:lang w:val="pl-PL"/>
        </w:rPr>
        <w:t>.</w:t>
      </w:r>
    </w:p>
    <w:p w:rsidR="00DD4B7C" w:rsidRPr="00CE0814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Ranking indeksów sporządzany jest </w:t>
      </w:r>
      <w:r w:rsidR="008B5B8A" w:rsidRPr="00CE0814">
        <w:rPr>
          <w:rFonts w:ascii="Verdana" w:hAnsi="Verdana" w:cs="Arial"/>
          <w:sz w:val="20"/>
          <w:lang w:val="pl-PL"/>
        </w:rPr>
        <w:t xml:space="preserve">na 4 tygodnie przed </w:t>
      </w:r>
      <w:r w:rsidR="0031687C" w:rsidRPr="00CE0814">
        <w:rPr>
          <w:rFonts w:ascii="Verdana" w:hAnsi="Verdana" w:cs="Arial"/>
          <w:sz w:val="20"/>
          <w:lang w:val="pl-PL"/>
        </w:rPr>
        <w:t xml:space="preserve">dniem </w:t>
      </w:r>
      <w:r w:rsidR="00C814EB" w:rsidRPr="00CE0814">
        <w:rPr>
          <w:rFonts w:ascii="Verdana" w:hAnsi="Verdana" w:cs="Arial"/>
          <w:sz w:val="20"/>
          <w:lang w:val="pl-PL"/>
        </w:rPr>
        <w:t>rewizj</w:t>
      </w:r>
      <w:r w:rsidR="0031687C" w:rsidRPr="00CE0814">
        <w:rPr>
          <w:rFonts w:ascii="Verdana" w:hAnsi="Verdana" w:cs="Arial"/>
          <w:sz w:val="20"/>
          <w:lang w:val="pl-PL"/>
        </w:rPr>
        <w:t>i</w:t>
      </w:r>
      <w:r w:rsidR="00C814EB" w:rsidRPr="00CE0814">
        <w:rPr>
          <w:rFonts w:ascii="Verdana" w:hAnsi="Verdana" w:cs="Arial"/>
          <w:sz w:val="20"/>
          <w:lang w:val="pl-PL"/>
        </w:rPr>
        <w:t xml:space="preserve"> lub</w:t>
      </w:r>
      <w:r w:rsidR="008467FA" w:rsidRPr="00CE0814">
        <w:rPr>
          <w:rFonts w:ascii="Verdana" w:hAnsi="Verdana" w:cs="Arial"/>
          <w:sz w:val="20"/>
          <w:lang w:val="pl-PL"/>
        </w:rPr>
        <w:t xml:space="preserve"> k</w:t>
      </w:r>
      <w:r w:rsidR="00C814EB" w:rsidRPr="00CE0814">
        <w:rPr>
          <w:rFonts w:ascii="Verdana" w:hAnsi="Verdana" w:cs="Arial"/>
          <w:sz w:val="20"/>
          <w:lang w:val="pl-PL"/>
        </w:rPr>
        <w:t>orekt</w:t>
      </w:r>
      <w:r w:rsidR="0031687C" w:rsidRPr="00CE0814">
        <w:rPr>
          <w:rFonts w:ascii="Verdana" w:hAnsi="Verdana" w:cs="Arial"/>
          <w:sz w:val="20"/>
          <w:lang w:val="pl-PL"/>
        </w:rPr>
        <w:t>y</w:t>
      </w:r>
      <w:r w:rsidR="008467FA" w:rsidRPr="00CE0814">
        <w:rPr>
          <w:rFonts w:ascii="Verdana" w:hAnsi="Verdana" w:cs="Arial"/>
          <w:sz w:val="20"/>
          <w:lang w:val="pl-PL"/>
        </w:rPr>
        <w:t xml:space="preserve"> </w:t>
      </w:r>
      <w:r w:rsidR="00C814EB" w:rsidRPr="00CE0814">
        <w:rPr>
          <w:rFonts w:ascii="Verdana" w:hAnsi="Verdana" w:cs="Arial"/>
          <w:sz w:val="20"/>
          <w:lang w:val="pl-PL"/>
        </w:rPr>
        <w:t>kwartaln</w:t>
      </w:r>
      <w:r w:rsidR="0031687C" w:rsidRPr="00CE0814">
        <w:rPr>
          <w:rFonts w:ascii="Verdana" w:hAnsi="Verdana" w:cs="Arial"/>
          <w:sz w:val="20"/>
          <w:lang w:val="pl-PL"/>
        </w:rPr>
        <w:t>ej</w:t>
      </w:r>
      <w:r w:rsidR="008467FA" w:rsidRPr="00CE0814">
        <w:rPr>
          <w:rFonts w:ascii="Verdana" w:hAnsi="Verdana" w:cs="Arial"/>
          <w:sz w:val="20"/>
          <w:lang w:val="pl-PL"/>
        </w:rPr>
        <w:t xml:space="preserve"> </w:t>
      </w:r>
      <w:r w:rsidRPr="00CE0814">
        <w:rPr>
          <w:rFonts w:ascii="Verdana" w:hAnsi="Verdana" w:cs="Arial"/>
          <w:sz w:val="20"/>
          <w:lang w:val="pl-PL"/>
        </w:rPr>
        <w:t>(dzień rankingu).</w:t>
      </w:r>
      <w:r w:rsidR="008467FA" w:rsidRPr="00CE0814">
        <w:rPr>
          <w:rFonts w:ascii="Verdana" w:hAnsi="Verdana" w:cs="Arial"/>
          <w:sz w:val="20"/>
          <w:lang w:val="pl-PL"/>
        </w:rPr>
        <w:t xml:space="preserve"> </w:t>
      </w:r>
      <w:r w:rsidR="00AE11AF" w:rsidRPr="00CE0814">
        <w:rPr>
          <w:rFonts w:ascii="Verdana" w:hAnsi="Verdana" w:cs="Arial"/>
          <w:sz w:val="20"/>
          <w:lang w:val="pl-PL"/>
        </w:rPr>
        <w:t xml:space="preserve"> </w:t>
      </w:r>
    </w:p>
    <w:p w:rsidR="00DD4B7C" w:rsidRPr="00CE0814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Przy sporządzaniu rankingu bierze się pod uwagę procentowy udział w łącznych obrotach oraz procentowy udział w łącznej wartości akcji w wolnym obrocie wszystkich spółek uwzględnianych w rankingu.</w:t>
      </w:r>
    </w:p>
    <w:p w:rsidR="00DD4B7C" w:rsidRPr="00CE0814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Wartość obrotów stanowiąca podstawę rankingu oblicza się biorąc pod uwagę obroty akcjami w systemie notowań jednolitych i ciągłych za okres 12 miesięcy. </w:t>
      </w:r>
      <w:r w:rsidRPr="00CE0814">
        <w:rPr>
          <w:rFonts w:ascii="Verdana" w:hAnsi="Verdana" w:cs="Arial"/>
          <w:sz w:val="20"/>
          <w:lang w:val="pl-PL"/>
        </w:rPr>
        <w:lastRenderedPageBreak/>
        <w:t>W przypadku połączenia dwóch lub więcej spółek, wartość obrotów akcjami tych spółek jest sumowana.</w:t>
      </w:r>
    </w:p>
    <w:p w:rsidR="0051437B" w:rsidRPr="00CE0814" w:rsidRDefault="00DD4B7C" w:rsidP="00A30F67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bookmarkStart w:id="1" w:name="_Hlk2003952"/>
      <w:r w:rsidRPr="00CE0814">
        <w:rPr>
          <w:rFonts w:ascii="Verdana" w:hAnsi="Verdana" w:cs="Arial"/>
          <w:bCs/>
          <w:sz w:val="20"/>
          <w:lang w:val="pl-PL"/>
        </w:rPr>
        <w:t xml:space="preserve">Wartość akcji w wolnym obrocie oblicza się jako iloczyn kursu zamknięcia akcji </w:t>
      </w:r>
      <w:r w:rsidR="00875EBF" w:rsidRPr="00CE0814">
        <w:rPr>
          <w:rFonts w:ascii="Verdana" w:hAnsi="Verdana" w:cs="Arial"/>
          <w:bCs/>
          <w:sz w:val="20"/>
          <w:lang w:val="pl-PL"/>
        </w:rPr>
        <w:br/>
      </w:r>
      <w:r w:rsidRPr="00CE0814">
        <w:rPr>
          <w:rFonts w:ascii="Verdana" w:hAnsi="Verdana" w:cs="Arial"/>
          <w:bCs/>
          <w:sz w:val="20"/>
          <w:lang w:val="pl-PL"/>
        </w:rPr>
        <w:t>i liczby akcji w wolnym obrocie w dniu</w:t>
      </w:r>
      <w:r w:rsidR="00E96694" w:rsidRPr="00CE0814">
        <w:rPr>
          <w:rFonts w:ascii="Verdana" w:hAnsi="Verdana" w:cs="Arial"/>
          <w:bCs/>
          <w:sz w:val="20"/>
          <w:lang w:val="pl-PL"/>
        </w:rPr>
        <w:t xml:space="preserve"> rankingu</w:t>
      </w:r>
      <w:r w:rsidR="00B407F8" w:rsidRPr="00CE0814">
        <w:rPr>
          <w:rFonts w:ascii="Verdana" w:hAnsi="Verdana" w:cs="Arial"/>
          <w:bCs/>
          <w:sz w:val="20"/>
          <w:lang w:val="pl-PL"/>
        </w:rPr>
        <w:t>, o której mowa w § 4</w:t>
      </w:r>
      <w:r w:rsidR="000C7D1A" w:rsidRPr="00CE0814">
        <w:rPr>
          <w:rFonts w:ascii="Verdana" w:hAnsi="Verdana" w:cs="Arial"/>
          <w:bCs/>
          <w:sz w:val="20"/>
          <w:lang w:val="pl-PL"/>
        </w:rPr>
        <w:t>7</w:t>
      </w:r>
      <w:bookmarkEnd w:id="1"/>
      <w:r w:rsidRPr="00CE0814">
        <w:rPr>
          <w:rFonts w:ascii="Verdana" w:hAnsi="Verdana" w:cs="Arial"/>
          <w:bCs/>
          <w:sz w:val="20"/>
          <w:lang w:val="pl-PL"/>
        </w:rPr>
        <w:t xml:space="preserve">. </w:t>
      </w:r>
      <w:r w:rsidR="001C5CAB" w:rsidRPr="00CE0814">
        <w:rPr>
          <w:rFonts w:ascii="Verdana" w:hAnsi="Verdana" w:cs="Arial"/>
          <w:bCs/>
          <w:sz w:val="20"/>
          <w:lang w:val="pl-PL"/>
        </w:rPr>
        <w:t xml:space="preserve">Kurs zamknięcia jest wybierany </w:t>
      </w:r>
      <w:r w:rsidR="00875EBF" w:rsidRPr="00CE0814">
        <w:rPr>
          <w:rFonts w:ascii="Verdana" w:hAnsi="Verdana" w:cs="Arial"/>
          <w:bCs/>
          <w:sz w:val="20"/>
          <w:lang w:val="pl-PL"/>
        </w:rPr>
        <w:t xml:space="preserve">losowo </w:t>
      </w:r>
      <w:r w:rsidR="001C5CAB" w:rsidRPr="00CE0814">
        <w:rPr>
          <w:rFonts w:ascii="Verdana" w:hAnsi="Verdana" w:cs="Arial"/>
          <w:bCs/>
          <w:sz w:val="20"/>
          <w:lang w:val="pl-PL"/>
        </w:rPr>
        <w:t xml:space="preserve">z okresu obejmującego </w:t>
      </w:r>
      <w:r w:rsidR="00875EBF" w:rsidRPr="00CE0814">
        <w:rPr>
          <w:rFonts w:ascii="Verdana" w:hAnsi="Verdana" w:cs="Arial"/>
          <w:bCs/>
          <w:sz w:val="20"/>
          <w:lang w:val="pl-PL"/>
        </w:rPr>
        <w:t>dzień rankingu i cztery</w:t>
      </w:r>
      <w:r w:rsidR="001C5CAB" w:rsidRPr="00CE0814">
        <w:rPr>
          <w:rFonts w:ascii="Verdana" w:hAnsi="Verdana" w:cs="Arial"/>
          <w:bCs/>
          <w:sz w:val="20"/>
          <w:lang w:val="pl-PL"/>
        </w:rPr>
        <w:t xml:space="preserve"> dni sesyjne </w:t>
      </w:r>
      <w:r w:rsidR="00875EBF" w:rsidRPr="00CE0814">
        <w:rPr>
          <w:rFonts w:ascii="Verdana" w:hAnsi="Verdana" w:cs="Arial"/>
          <w:bCs/>
          <w:sz w:val="20"/>
          <w:lang w:val="pl-PL"/>
        </w:rPr>
        <w:t>bezpośrednio go poprzedzające</w:t>
      </w:r>
      <w:r w:rsidR="001C5CAB" w:rsidRPr="00CE0814">
        <w:rPr>
          <w:rFonts w:ascii="Verdana" w:hAnsi="Verdana" w:cs="Arial"/>
          <w:bCs/>
          <w:sz w:val="20"/>
          <w:lang w:val="pl-PL"/>
        </w:rPr>
        <w:t xml:space="preserve">. </w:t>
      </w:r>
      <w:r w:rsidR="0031687C" w:rsidRPr="00CE0814">
        <w:rPr>
          <w:rFonts w:ascii="Verdana" w:hAnsi="Verdana" w:cs="Arial"/>
          <w:sz w:val="20"/>
          <w:lang w:val="pl-PL"/>
        </w:rPr>
        <w:t xml:space="preserve">W rankingu nie uczestniczą spółki, które </w:t>
      </w:r>
      <w:r w:rsidR="00AC7715" w:rsidRPr="00CE0814">
        <w:rPr>
          <w:rFonts w:ascii="Verdana" w:hAnsi="Verdana" w:cs="Arial"/>
          <w:sz w:val="20"/>
          <w:lang w:val="pl-PL"/>
        </w:rPr>
        <w:t xml:space="preserve">na dzień rankingu </w:t>
      </w:r>
      <w:r w:rsidR="0031687C" w:rsidRPr="00CE0814">
        <w:rPr>
          <w:rFonts w:ascii="Verdana" w:hAnsi="Verdana" w:cs="Arial"/>
          <w:sz w:val="20"/>
          <w:lang w:val="pl-PL"/>
        </w:rPr>
        <w:t xml:space="preserve">znajdą się w ostatnim </w:t>
      </w:r>
      <w:proofErr w:type="spellStart"/>
      <w:r w:rsidR="0031687C" w:rsidRPr="00CE0814">
        <w:rPr>
          <w:rFonts w:ascii="Verdana" w:hAnsi="Verdana" w:cs="Arial"/>
          <w:sz w:val="20"/>
          <w:lang w:val="pl-PL"/>
        </w:rPr>
        <w:t>kwartylu</w:t>
      </w:r>
      <w:proofErr w:type="spellEnd"/>
      <w:r w:rsidR="0031687C" w:rsidRPr="00CE0814">
        <w:rPr>
          <w:rFonts w:ascii="Verdana" w:hAnsi="Verdana" w:cs="Arial"/>
          <w:sz w:val="20"/>
          <w:lang w:val="pl-PL"/>
        </w:rPr>
        <w:t xml:space="preserve"> zestawienia spółek według </w:t>
      </w:r>
      <w:r w:rsidR="008B5B8A" w:rsidRPr="00CE0814">
        <w:rPr>
          <w:rFonts w:ascii="Verdana" w:hAnsi="Verdana" w:cs="Arial"/>
          <w:sz w:val="20"/>
          <w:lang w:val="pl-PL"/>
        </w:rPr>
        <w:t xml:space="preserve">wartości akcji w wolnym obrocie. </w:t>
      </w:r>
    </w:p>
    <w:p w:rsidR="00DD4B7C" w:rsidRPr="00CE0814" w:rsidRDefault="00DD4B7C" w:rsidP="0031687C">
      <w:pPr>
        <w:pStyle w:val="Tekstpodstawowy1"/>
        <w:numPr>
          <w:ilvl w:val="0"/>
          <w:numId w:val="4"/>
        </w:numPr>
        <w:tabs>
          <w:tab w:val="left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6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Punkty rankingowe spółek oblicza się na podstawie poniższego wzoru: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R(i) = 0,6 * </w:t>
      </w:r>
      <w:proofErr w:type="spellStart"/>
      <w:r w:rsidRPr="00CE0814">
        <w:rPr>
          <w:rFonts w:ascii="Verdana" w:hAnsi="Verdana" w:cs="Arial"/>
          <w:sz w:val="20"/>
        </w:rPr>
        <w:t>sT</w:t>
      </w:r>
      <w:proofErr w:type="spellEnd"/>
      <w:r w:rsidRPr="00CE0814">
        <w:rPr>
          <w:rFonts w:ascii="Verdana" w:hAnsi="Verdana" w:cs="Arial"/>
          <w:sz w:val="20"/>
        </w:rPr>
        <w:t xml:space="preserve">(i) + 0,4 * </w:t>
      </w:r>
      <w:proofErr w:type="spellStart"/>
      <w:r w:rsidRPr="00CE0814">
        <w:rPr>
          <w:rFonts w:ascii="Verdana" w:hAnsi="Verdana" w:cs="Arial"/>
          <w:sz w:val="20"/>
        </w:rPr>
        <w:t>sC</w:t>
      </w:r>
      <w:proofErr w:type="spellEnd"/>
      <w:r w:rsidRPr="00CE0814">
        <w:rPr>
          <w:rFonts w:ascii="Verdana" w:hAnsi="Verdana" w:cs="Arial"/>
          <w:sz w:val="20"/>
        </w:rPr>
        <w:t>(i)</w:t>
      </w:r>
    </w:p>
    <w:p w:rsidR="00DD4B7C" w:rsidRPr="00CE0814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CE0814" w:rsidRDefault="00DD4B7C" w:rsidP="00512DFC">
      <w:pPr>
        <w:pStyle w:val="Tekstpodstawowy"/>
        <w:tabs>
          <w:tab w:val="clear" w:pos="8640"/>
          <w:tab w:val="left" w:pos="8505"/>
        </w:tabs>
        <w:spacing w:line="360" w:lineRule="auto"/>
        <w:ind w:left="993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R(i) - punkty rankingowe spółki „i” </w:t>
      </w:r>
    </w:p>
    <w:p w:rsidR="00DD4B7C" w:rsidRPr="00CE0814" w:rsidRDefault="00DD4B7C" w:rsidP="00DD4B7C">
      <w:pPr>
        <w:pStyle w:val="Tekstpodstawowy"/>
        <w:spacing w:line="360" w:lineRule="auto"/>
        <w:ind w:left="993" w:hanging="709"/>
        <w:rPr>
          <w:rFonts w:ascii="Verdana" w:hAnsi="Verdana" w:cs="Arial"/>
          <w:sz w:val="20"/>
        </w:rPr>
      </w:pPr>
      <w:proofErr w:type="spellStart"/>
      <w:r w:rsidRPr="00CE0814">
        <w:rPr>
          <w:rFonts w:ascii="Verdana" w:hAnsi="Verdana" w:cs="Arial"/>
          <w:sz w:val="20"/>
        </w:rPr>
        <w:t>sT</w:t>
      </w:r>
      <w:proofErr w:type="spellEnd"/>
      <w:r w:rsidRPr="00CE0814">
        <w:rPr>
          <w:rFonts w:ascii="Verdana" w:hAnsi="Verdana" w:cs="Arial"/>
          <w:sz w:val="20"/>
        </w:rPr>
        <w:t xml:space="preserve">(i) - procentowy udział obrotu akcjami spółki „i” w łącznych obrotach akcjami spółek uczestniczących w rankingu </w:t>
      </w:r>
    </w:p>
    <w:p w:rsidR="00DD4B7C" w:rsidRPr="00CE0814" w:rsidRDefault="00DD4B7C" w:rsidP="00512DF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22"/>
          <w:tab w:val="left" w:pos="8505"/>
        </w:tabs>
        <w:spacing w:after="120" w:line="360" w:lineRule="auto"/>
        <w:ind w:left="993" w:hanging="709"/>
        <w:jc w:val="both"/>
        <w:rPr>
          <w:rFonts w:ascii="Verdana" w:hAnsi="Verdana" w:cs="Arial"/>
          <w:sz w:val="20"/>
          <w:lang w:val="pl-PL"/>
        </w:rPr>
      </w:pPr>
      <w:proofErr w:type="spellStart"/>
      <w:r w:rsidRPr="00CE0814">
        <w:rPr>
          <w:rFonts w:ascii="Verdana" w:hAnsi="Verdana" w:cs="Arial"/>
          <w:sz w:val="20"/>
          <w:lang w:val="pl-PL"/>
        </w:rPr>
        <w:t>sC</w:t>
      </w:r>
      <w:proofErr w:type="spellEnd"/>
      <w:r w:rsidRPr="00CE0814">
        <w:rPr>
          <w:rFonts w:ascii="Verdana" w:hAnsi="Verdana" w:cs="Arial"/>
          <w:sz w:val="20"/>
          <w:lang w:val="pl-PL"/>
        </w:rPr>
        <w:t>(i) - procentowy udział wartości akcji w wolnym obrocie spółki „i” w wartości akcji w wolnym obrocie spółek uczestniczących w rankingu</w:t>
      </w:r>
    </w:p>
    <w:p w:rsidR="00DD4B7C" w:rsidRPr="00CE0814" w:rsidRDefault="00A726B8" w:rsidP="00A726B8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080"/>
          <w:tab w:val="left" w:pos="9000"/>
        </w:tabs>
        <w:spacing w:line="360" w:lineRule="auto"/>
        <w:ind w:left="0" w:firstLine="0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/>
          <w:color w:val="auto"/>
          <w:sz w:val="20"/>
          <w:lang w:val="pl-PL" w:eastAsia="en-US"/>
        </w:rPr>
        <w:t>Spółka wchodząca w skład  indeksu WIG20, mWIG40 albo sWIG80</w:t>
      </w:r>
      <w:r w:rsidRPr="00CE0814">
        <w:rPr>
          <w:rFonts w:ascii="Verdana" w:hAnsi="Verdana"/>
          <w:sz w:val="20"/>
          <w:lang w:val="pl-PL" w:eastAsia="en-US"/>
        </w:rPr>
        <w:t xml:space="preserve">                 </w:t>
      </w:r>
      <w:r w:rsidRPr="00CE0814">
        <w:rPr>
          <w:rFonts w:ascii="Verdana" w:hAnsi="Verdana"/>
          <w:sz w:val="20"/>
          <w:lang w:val="pl-PL" w:eastAsia="en-US"/>
        </w:rPr>
        <w:tab/>
      </w:r>
      <w:r w:rsidRPr="00CE0814">
        <w:rPr>
          <w:rFonts w:ascii="Verdana" w:hAnsi="Verdana"/>
          <w:color w:val="auto"/>
          <w:sz w:val="20"/>
          <w:lang w:val="pl-PL" w:eastAsia="en-US"/>
        </w:rPr>
        <w:t xml:space="preserve">nie </w:t>
      </w:r>
      <w:r w:rsidRPr="00CE0814">
        <w:rPr>
          <w:rFonts w:ascii="Verdana" w:hAnsi="Verdana"/>
          <w:sz w:val="20"/>
          <w:lang w:val="pl-PL" w:eastAsia="en-US"/>
        </w:rPr>
        <w:t xml:space="preserve">może być jednocześnie uczestnikiem </w:t>
      </w:r>
      <w:r w:rsidRPr="00CE0814">
        <w:rPr>
          <w:rFonts w:ascii="Verdana" w:hAnsi="Verdana"/>
          <w:color w:val="auto"/>
          <w:sz w:val="20"/>
          <w:lang w:val="pl-PL" w:eastAsia="en-US"/>
        </w:rPr>
        <w:t>innego z tych indeksów</w:t>
      </w:r>
      <w:r w:rsidR="00E739C7" w:rsidRPr="00CE0814">
        <w:rPr>
          <w:rFonts w:ascii="Verdana" w:hAnsi="Verdana"/>
          <w:color w:val="auto"/>
          <w:sz w:val="20"/>
          <w:lang w:val="pl-PL" w:eastAsia="en-US"/>
        </w:rPr>
        <w:t>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5547B3" w:rsidRPr="00CE0814" w:rsidRDefault="005547B3" w:rsidP="005D2259">
      <w:pPr>
        <w:pStyle w:val="Tekstpodstawowy"/>
        <w:spacing w:after="120" w:line="360" w:lineRule="auto"/>
        <w:jc w:val="center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§ 9a</w:t>
      </w:r>
    </w:p>
    <w:p w:rsidR="005547B3" w:rsidRPr="00CE0814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Na podstawie rankingu tworzona jest </w:t>
      </w:r>
      <w:r w:rsidR="00636206" w:rsidRPr="00CE0814">
        <w:rPr>
          <w:rFonts w:ascii="Verdana" w:hAnsi="Verdana" w:cs="Arial"/>
          <w:sz w:val="20"/>
        </w:rPr>
        <w:t xml:space="preserve">również </w:t>
      </w:r>
      <w:r w:rsidRPr="00CE0814">
        <w:rPr>
          <w:rFonts w:ascii="Verdana" w:hAnsi="Verdana" w:cs="Arial"/>
          <w:sz w:val="20"/>
        </w:rPr>
        <w:t>lista rezerwowa uczestników indeksu, która służy do uzupełniania listy uczestników indeksu podczas korekty nadzwyczajnej.</w:t>
      </w:r>
    </w:p>
    <w:p w:rsidR="005547B3" w:rsidRPr="00CE0814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Lista rezerwowa podawana jest do publicznej wiadomości. </w:t>
      </w:r>
    </w:p>
    <w:p w:rsidR="005547B3" w:rsidRPr="00CE0814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Lista rezerwowa zawiera co najmniej 5 spółek. </w:t>
      </w:r>
    </w:p>
    <w:p w:rsidR="005547B3" w:rsidRPr="00CE0814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Wielkości pakietów akcji spółek umieszczonych na  liście rezerwowej wyznacza się na podstawie wzorów stosowanych przy rewizji lub przy korekcie.</w:t>
      </w:r>
      <w:r w:rsidR="00636206" w:rsidRPr="00CE0814">
        <w:rPr>
          <w:rFonts w:ascii="Verdana" w:hAnsi="Verdana" w:cs="Arial"/>
          <w:sz w:val="20"/>
        </w:rPr>
        <w:t xml:space="preserve"> </w:t>
      </w:r>
      <w:r w:rsidR="003B4A63" w:rsidRPr="00CE0814">
        <w:rPr>
          <w:rFonts w:ascii="Verdana" w:hAnsi="Verdana" w:cs="Arial"/>
          <w:sz w:val="20"/>
        </w:rPr>
        <w:t xml:space="preserve"> </w:t>
      </w:r>
    </w:p>
    <w:p w:rsidR="005547B3" w:rsidRPr="00CE0814" w:rsidRDefault="005547B3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5547B3" w:rsidRPr="00CE0814" w:rsidRDefault="005547B3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0C7D1A" w:rsidRPr="00CE0814" w:rsidRDefault="000C7D1A">
      <w:pPr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sz w:val="20"/>
        </w:rPr>
        <w:br w:type="page"/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2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Dużych Spółek WIG20</w:t>
      </w:r>
    </w:p>
    <w:p w:rsidR="00A726B8" w:rsidRPr="00CE0814" w:rsidRDefault="00A726B8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10 </w:t>
      </w:r>
    </w:p>
    <w:p w:rsidR="00DD4B7C" w:rsidRPr="00CE0814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skład portfela indeksu wchodzą pakiety akcji 20 spółek. W szczególnie uzasadnionych przypadkach dopuszcza się sytuację, że w indeksie uczestniczy więcej lub mniej niż 20 spółek.</w:t>
      </w:r>
    </w:p>
    <w:p w:rsidR="00DD4B7C" w:rsidRPr="00CE0814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16 kwietnia 1994 roku.</w:t>
      </w:r>
    </w:p>
    <w:p w:rsidR="00DD4B7C" w:rsidRPr="00CE0814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DD4B7C" w:rsidRPr="00CE0814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Liczba uczestników indeksu zakwalifikowanych do jednego sektora, według stosowanej klasyfikacji sektorowej, nie może być większa niż 5.</w:t>
      </w:r>
    </w:p>
    <w:p w:rsidR="00DD4B7C" w:rsidRPr="00CE0814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DD4B7C" w:rsidRPr="00CE0814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przypadku notowania akcji spółki po raz pierwszy „bez prawa poboru” </w:t>
      </w:r>
      <w:r w:rsidR="00BE6F9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z kursem odniesienia, niższym niż ostatni kurs zamknięcia, pakiet akcji tej spółki nie jest uwzględniany na pierwszej sesji „bez prawa poboru” w portfelu indeksu. Zapowiedź przewidywanej zmiany w portfelu indeksu związanej z niniejszą operacją może zostać podana do publicznej wiadomości na 1 dzień przed dniem ostatniego notowania akcji danej spółki z prawem poboru. Informacje </w:t>
      </w:r>
      <w:r w:rsidR="00BE6F9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o przeprowadzeniu niniejszej operacji podawane są do publicznej wiadomości </w:t>
      </w:r>
      <w:r w:rsidR="00BE6F9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po zakończeniu sesji, podczas której akcje tej spółki były po raz ostatni notowane z prawem poboru. 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11 </w:t>
      </w:r>
    </w:p>
    <w:p w:rsidR="00DD4B7C" w:rsidRPr="00CE0814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Rewizja roczna indeksu przeprowadzana jest po sesji trzeciego piątku marca na podstawie rankingu sporządzonego</w:t>
      </w:r>
      <w:r w:rsidR="000E1575" w:rsidRPr="00CE0814">
        <w:rPr>
          <w:rFonts w:ascii="Verdana" w:hAnsi="Verdana" w:cs="Arial"/>
          <w:sz w:val="20"/>
          <w:lang w:val="pl-PL"/>
        </w:rPr>
        <w:t xml:space="preserve"> </w:t>
      </w:r>
      <w:r w:rsidR="005B6664" w:rsidRPr="00CE0814">
        <w:rPr>
          <w:rFonts w:ascii="Verdana" w:hAnsi="Verdana" w:cs="Arial"/>
          <w:sz w:val="20"/>
          <w:lang w:val="pl-PL"/>
        </w:rPr>
        <w:t xml:space="preserve">na </w:t>
      </w:r>
      <w:r w:rsidR="000E1575" w:rsidRPr="00CE0814">
        <w:rPr>
          <w:rFonts w:ascii="Verdana" w:hAnsi="Verdana" w:cs="Arial"/>
          <w:sz w:val="20"/>
          <w:lang w:val="pl-PL"/>
        </w:rPr>
        <w:t>4 tygodnie przed dniem rewizji</w:t>
      </w:r>
      <w:r w:rsidRPr="00CE0814">
        <w:rPr>
          <w:rFonts w:ascii="Verdana" w:hAnsi="Verdana" w:cs="Arial"/>
          <w:sz w:val="20"/>
          <w:lang w:val="pl-PL"/>
        </w:rPr>
        <w:t>, a jej celem jest dokonanie niezbędnych zmian listy uczestników indeksu oraz wyznaczenie nowych pakietów akcji wszystkich uczestników indeksu.</w:t>
      </w:r>
    </w:p>
    <w:p w:rsidR="00DD4B7C" w:rsidRPr="00CE0814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Uczestnikami indeksu po rewizji rocznej zostają spółki, które zajęły co najmniej </w:t>
      </w:r>
      <w:r w:rsidR="005B666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15 pozycję w rankingu, zaś opuszczają go spółki, które zajęły pozycję niższą niż 25.</w:t>
      </w:r>
    </w:p>
    <w:p w:rsidR="00DD4B7C" w:rsidRPr="00CE0814" w:rsidRDefault="00995BC0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</w:t>
      </w:r>
      <w:r w:rsidR="00DD4B7C" w:rsidRPr="00CE0814">
        <w:rPr>
          <w:rFonts w:ascii="Verdana" w:hAnsi="Verdana" w:cs="Arial"/>
          <w:sz w:val="20"/>
          <w:lang w:val="pl-PL"/>
        </w:rPr>
        <w:t xml:space="preserve"> indeksu po rewizji rocznej pozostają również spółki, które zajęły najwyższą pozycję pomiędzy </w:t>
      </w:r>
      <w:smartTag w:uri="urn:schemas-microsoft-com:office:smarttags" w:element="metricconverter">
        <w:smartTagPr>
          <w:attr w:name="ProductID" w:val="16 a"/>
        </w:smartTagPr>
        <w:r w:rsidR="00DD4B7C" w:rsidRPr="00CE0814">
          <w:rPr>
            <w:rFonts w:ascii="Verdana" w:hAnsi="Verdana" w:cs="Arial"/>
            <w:sz w:val="20"/>
            <w:lang w:val="pl-PL"/>
          </w:rPr>
          <w:t>16 a</w:t>
        </w:r>
      </w:smartTag>
      <w:r w:rsidR="00DD4B7C" w:rsidRPr="00CE0814">
        <w:rPr>
          <w:rFonts w:ascii="Verdana" w:hAnsi="Verdana" w:cs="Arial"/>
          <w:sz w:val="20"/>
          <w:lang w:val="pl-PL"/>
        </w:rPr>
        <w:t xml:space="preserve"> 25, jeżeli na liście uczestników zwolniło się miejsce i liczba uczestników spadła poniżej 20.</w:t>
      </w:r>
    </w:p>
    <w:p w:rsidR="00DD4B7C" w:rsidRPr="00CE0814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sytuacji, gdy z zasad zmiany listy uczestników indeksu wynika, że nie będzie spełniony warunek określony w § 10 ust. 4, to skreślenie spółki z listy uczestników indeksu może nastąpić tylko wówczas, gdy spółka wpisywana na listę uczestników zajmuje pozycję w rankingu co najmniej o 5 pozycji wyższą od spółki skreślanej.</w:t>
      </w:r>
    </w:p>
    <w:p w:rsidR="00DD4B7C" w:rsidRPr="00CE0814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DD4B7C" w:rsidRPr="00CE0814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15% jego wartości.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12 </w:t>
      </w:r>
    </w:p>
    <w:p w:rsidR="00DD4B7C" w:rsidRPr="00CE0814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kwartalna jest przeprowadzana po sesji trzeciego piątku czerwca, września i grudnia</w:t>
      </w:r>
      <w:r w:rsidR="000B2C09" w:rsidRPr="00CE0814">
        <w:rPr>
          <w:rFonts w:ascii="Verdana" w:hAnsi="Verdana" w:cs="Arial"/>
          <w:sz w:val="20"/>
          <w:lang w:val="pl-PL"/>
        </w:rPr>
        <w:t>,</w:t>
      </w:r>
      <w:r w:rsidRPr="00CE0814">
        <w:rPr>
          <w:rFonts w:ascii="Verdana" w:hAnsi="Verdana" w:cs="Arial"/>
          <w:sz w:val="20"/>
          <w:lang w:val="pl-PL"/>
        </w:rPr>
        <w:t xml:space="preserve"> na p</w:t>
      </w:r>
      <w:r w:rsidR="00BE6F94" w:rsidRPr="00CE0814">
        <w:rPr>
          <w:rFonts w:ascii="Verdana" w:hAnsi="Verdana" w:cs="Arial"/>
          <w:sz w:val="20"/>
          <w:lang w:val="pl-PL"/>
        </w:rPr>
        <w:t>odstawie rankingu sporządzonego</w:t>
      </w:r>
      <w:r w:rsidR="005B6664" w:rsidRPr="00CE0814">
        <w:rPr>
          <w:rFonts w:ascii="Verdana" w:hAnsi="Verdana" w:cs="Arial"/>
          <w:sz w:val="20"/>
          <w:lang w:val="pl-PL"/>
        </w:rPr>
        <w:t xml:space="preserve"> na </w:t>
      </w:r>
      <w:r w:rsidR="000E1575" w:rsidRPr="00CE0814">
        <w:rPr>
          <w:rFonts w:ascii="Verdana" w:hAnsi="Verdana" w:cs="Arial"/>
          <w:sz w:val="20"/>
          <w:lang w:val="pl-PL"/>
        </w:rPr>
        <w:t>4 tygodnie przed dniem korekty</w:t>
      </w:r>
      <w:r w:rsidRPr="00CE0814">
        <w:rPr>
          <w:rFonts w:ascii="Verdana" w:hAnsi="Verdana" w:cs="Arial"/>
          <w:sz w:val="20"/>
          <w:lang w:val="pl-PL"/>
        </w:rPr>
        <w:t>,</w:t>
      </w:r>
      <w:r w:rsidR="00BE6F94" w:rsidRPr="00CE0814">
        <w:rPr>
          <w:rFonts w:ascii="Verdana" w:hAnsi="Verdana" w:cs="Arial"/>
          <w:sz w:val="20"/>
          <w:lang w:val="pl-PL"/>
        </w:rPr>
        <w:t xml:space="preserve"> </w:t>
      </w:r>
      <w:r w:rsidRPr="00CE0814">
        <w:rPr>
          <w:rFonts w:ascii="Verdana" w:hAnsi="Verdana" w:cs="Arial"/>
          <w:sz w:val="20"/>
          <w:lang w:val="pl-PL"/>
        </w:rPr>
        <w:t>a jej celem jest przeprowadzenie niezbędnych zmian listy uczestników indeksu.</w:t>
      </w:r>
    </w:p>
    <w:p w:rsidR="00DD4B7C" w:rsidRPr="00CE0814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Uczestnikami indeksu po korekcie kwartalnej zostają spółki, które zajęły </w:t>
      </w:r>
      <w:r w:rsidR="00DF771E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co najmniej 10 pozycję w rankingu, zaś opuszczają go spółki, które zajęły pozycję niższą niż 30.</w:t>
      </w:r>
    </w:p>
    <w:p w:rsidR="00DD4B7C" w:rsidRPr="00CE0814" w:rsidRDefault="00995BC0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</w:t>
      </w:r>
      <w:r w:rsidR="00DD4B7C" w:rsidRPr="00CE0814">
        <w:rPr>
          <w:rFonts w:ascii="Verdana" w:hAnsi="Verdana" w:cs="Arial"/>
          <w:sz w:val="20"/>
          <w:lang w:val="pl-PL"/>
        </w:rPr>
        <w:t xml:space="preserve"> indeksu po korekcie kwartalnej pozostają również spółki, które zajęły najwyższą pozycję pomiędzy </w:t>
      </w:r>
      <w:smartTag w:uri="urn:schemas-microsoft-com:office:smarttags" w:element="metricconverter">
        <w:smartTagPr>
          <w:attr w:name="ProductID" w:val="11 a"/>
        </w:smartTagPr>
        <w:r w:rsidR="00DD4B7C" w:rsidRPr="00CE0814">
          <w:rPr>
            <w:rFonts w:ascii="Verdana" w:hAnsi="Verdana" w:cs="Arial"/>
            <w:sz w:val="20"/>
            <w:lang w:val="pl-PL"/>
          </w:rPr>
          <w:t>11 a</w:t>
        </w:r>
      </w:smartTag>
      <w:r w:rsidR="00DD4B7C" w:rsidRPr="00CE0814">
        <w:rPr>
          <w:rFonts w:ascii="Verdana" w:hAnsi="Verdana" w:cs="Arial"/>
          <w:sz w:val="20"/>
          <w:lang w:val="pl-PL"/>
        </w:rPr>
        <w:t xml:space="preserve"> 30, jeżeli na liście uczestników zwolniło się miejsce i liczba uczestników spadła poniżej 20.</w:t>
      </w:r>
    </w:p>
    <w:p w:rsidR="00DD4B7C" w:rsidRPr="00CE0814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sytuacji, gdy z zasad zmiany listy uczestników indeksu wynika, że nie będzie spełniony warunek określony w § 10 ust. 4, to skreślenie spółki z listy uczestników indeksu może nastąpić tylko wówczas, gdy spółka wpisywana </w:t>
      </w:r>
      <w:r w:rsidR="00DF771E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na listę uczestników zajmuje pozycję w rankingu co najmniej o 5 pozycji wyższą od spółki skreślanej.</w:t>
      </w:r>
    </w:p>
    <w:p w:rsidR="00DD4B7C" w:rsidRPr="00CE0814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DD4B7C" w:rsidRPr="00CE0814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15% jego wartości.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13 </w:t>
      </w:r>
    </w:p>
    <w:p w:rsidR="00DD4B7C" w:rsidRPr="00CE0814" w:rsidRDefault="00DD4B7C" w:rsidP="00DD4B7C">
      <w:pPr>
        <w:pStyle w:val="Tekstpodstawowy1"/>
        <w:numPr>
          <w:ilvl w:val="0"/>
          <w:numId w:val="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Nadzwyczajna korekta uczestników indeksu może zostać przeprowadzona w celu wpisania na listę uczestników indeksu nowo wprowadzanej do obrotu giełdowego spółki, o ile wartość jej akcji w wolnym obrocie w dniu pierwszego notowania stanowi co najmniej 5% wartości kapitalizacji portfela indeksu na sesji w tym dniu.</w:t>
      </w:r>
    </w:p>
    <w:p w:rsidR="00DD4B7C" w:rsidRPr="00CE0814" w:rsidRDefault="00DD4B7C" w:rsidP="00DD4B7C">
      <w:pPr>
        <w:pStyle w:val="Tekstpodstawowy1"/>
        <w:numPr>
          <w:ilvl w:val="0"/>
          <w:numId w:val="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dokonania korekty nadzwyczajnej w wyniku wprowadzenia do obrotu giełdowego nowej spółki, z listy uczestników indeksu skreśla się spółkę, która w </w:t>
      </w:r>
      <w:r w:rsidR="002826DC" w:rsidRPr="00CE0814">
        <w:rPr>
          <w:rFonts w:ascii="Verdana" w:hAnsi="Verdana" w:cs="Arial"/>
          <w:sz w:val="20"/>
          <w:lang w:val="pl-PL"/>
        </w:rPr>
        <w:t xml:space="preserve">ostatnim </w:t>
      </w:r>
      <w:r w:rsidRPr="00CE0814">
        <w:rPr>
          <w:rFonts w:ascii="Verdana" w:hAnsi="Verdana" w:cs="Arial"/>
          <w:sz w:val="20"/>
          <w:lang w:val="pl-PL"/>
        </w:rPr>
        <w:t>rankingu indeksu jest na najniższej pozycji.</w:t>
      </w:r>
    </w:p>
    <w:p w:rsidR="00DD4B7C" w:rsidRPr="00CE0814" w:rsidRDefault="00DD4B7C" w:rsidP="007C0D7C">
      <w:pPr>
        <w:pStyle w:val="Tekstpodstawowy1"/>
        <w:numPr>
          <w:ilvl w:val="0"/>
          <w:numId w:val="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nadzwyczajna i</w:t>
      </w:r>
      <w:r w:rsidR="009574A6" w:rsidRPr="00CE0814">
        <w:rPr>
          <w:rFonts w:ascii="Verdana" w:hAnsi="Verdana" w:cs="Arial"/>
          <w:sz w:val="20"/>
          <w:lang w:val="pl-PL"/>
        </w:rPr>
        <w:t>ndeksu skutkuje korektą indeks</w:t>
      </w:r>
      <w:r w:rsidR="0000039E" w:rsidRPr="00CE0814">
        <w:rPr>
          <w:rFonts w:ascii="Verdana" w:hAnsi="Verdana" w:cs="Arial"/>
          <w:sz w:val="20"/>
          <w:lang w:val="pl-PL"/>
        </w:rPr>
        <w:t>ów</w:t>
      </w:r>
      <w:r w:rsidRPr="00CE0814">
        <w:rPr>
          <w:rFonts w:ascii="Verdana" w:hAnsi="Verdana" w:cs="Arial"/>
          <w:sz w:val="20"/>
          <w:lang w:val="pl-PL"/>
        </w:rPr>
        <w:t xml:space="preserve"> mWIG40</w:t>
      </w:r>
      <w:r w:rsidR="0000039E" w:rsidRPr="00CE0814">
        <w:rPr>
          <w:rFonts w:ascii="Verdana" w:hAnsi="Verdana" w:cs="Arial"/>
          <w:sz w:val="20"/>
          <w:lang w:val="pl-PL"/>
        </w:rPr>
        <w:t xml:space="preserve"> i sWIG80</w:t>
      </w:r>
      <w:r w:rsidRPr="00CE0814">
        <w:rPr>
          <w:rFonts w:ascii="Verdana" w:hAnsi="Verdana" w:cs="Arial"/>
          <w:sz w:val="20"/>
          <w:lang w:val="pl-PL"/>
        </w:rPr>
        <w:t>.</w:t>
      </w:r>
    </w:p>
    <w:p w:rsidR="00E906AC" w:rsidRPr="00CE0814" w:rsidRDefault="00E906AC" w:rsidP="00E906A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</w:t>
      </w:r>
      <w:r w:rsidR="00461F86" w:rsidRPr="00CE0814">
        <w:rPr>
          <w:rFonts w:ascii="Verdana" w:hAnsi="Verdana" w:cs="Arial"/>
          <w:sz w:val="20"/>
          <w:lang w:val="pl-PL"/>
        </w:rPr>
        <w:t>3</w:t>
      </w:r>
      <w:r w:rsidRPr="00CE0814">
        <w:rPr>
          <w:rFonts w:ascii="Verdana" w:hAnsi="Verdana" w:cs="Arial"/>
          <w:sz w:val="20"/>
          <w:lang w:val="pl-PL"/>
        </w:rPr>
        <w:t xml:space="preserve">a </w:t>
      </w:r>
    </w:p>
    <w:p w:rsidR="00E906AC" w:rsidRPr="00CE0814" w:rsidRDefault="00E906AC" w:rsidP="005D2259">
      <w:pPr>
        <w:pStyle w:val="Tekstpodstawowy"/>
        <w:numPr>
          <w:ilvl w:val="0"/>
          <w:numId w:val="56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przypadku zawieszenia obrotu akcjami danej spółki na żądanie Komisji Nadzoru Finansowego może zostać przeprowadzona nadzwyczajna korekta uczestników indeksu.</w:t>
      </w:r>
    </w:p>
    <w:p w:rsidR="003E20C9" w:rsidRPr="00CE0814" w:rsidRDefault="00E906AC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zawieszeni</w:t>
      </w:r>
      <w:r w:rsidR="009D707C" w:rsidRPr="00CE0814">
        <w:rPr>
          <w:rFonts w:ascii="Verdana" w:hAnsi="Verdana" w:cs="Arial"/>
          <w:sz w:val="20"/>
          <w:lang w:val="pl-PL"/>
        </w:rPr>
        <w:t>a</w:t>
      </w:r>
      <w:r w:rsidRPr="00CE0814">
        <w:rPr>
          <w:rFonts w:ascii="Verdana" w:hAnsi="Verdana" w:cs="Arial"/>
          <w:sz w:val="20"/>
          <w:lang w:val="pl-PL"/>
        </w:rPr>
        <w:t xml:space="preserve"> obrotu, o którym mowa w ust. 1, dana spółka </w:t>
      </w:r>
      <w:r w:rsidR="00FE7597" w:rsidRPr="00CE0814">
        <w:rPr>
          <w:rFonts w:ascii="Verdana" w:hAnsi="Verdana" w:cs="Arial"/>
          <w:sz w:val="20"/>
          <w:lang w:val="pl-PL"/>
        </w:rPr>
        <w:t>może zostać niez</w:t>
      </w:r>
      <w:r w:rsidR="00C646C3" w:rsidRPr="00CE0814">
        <w:rPr>
          <w:rFonts w:ascii="Verdana" w:hAnsi="Verdana" w:cs="Arial"/>
          <w:sz w:val="20"/>
          <w:lang w:val="pl-PL"/>
        </w:rPr>
        <w:t>w</w:t>
      </w:r>
      <w:r w:rsidR="00FE7597" w:rsidRPr="00CE0814">
        <w:rPr>
          <w:rFonts w:ascii="Verdana" w:hAnsi="Verdana" w:cs="Arial"/>
          <w:sz w:val="20"/>
          <w:lang w:val="pl-PL"/>
        </w:rPr>
        <w:t xml:space="preserve">łocznie </w:t>
      </w:r>
      <w:r w:rsidR="009D707C" w:rsidRPr="00CE0814">
        <w:rPr>
          <w:rFonts w:ascii="Verdana" w:hAnsi="Verdana" w:cs="Arial"/>
          <w:sz w:val="20"/>
          <w:lang w:val="pl-PL"/>
        </w:rPr>
        <w:t>skreślona</w:t>
      </w:r>
      <w:r w:rsidRPr="00CE0814">
        <w:rPr>
          <w:rFonts w:ascii="Verdana" w:hAnsi="Verdana" w:cs="Arial"/>
          <w:sz w:val="20"/>
          <w:lang w:val="pl-PL"/>
        </w:rPr>
        <w:t xml:space="preserve"> z listy uczestników indeksu</w:t>
      </w:r>
      <w:r w:rsidR="003E20C9" w:rsidRPr="00CE0814">
        <w:rPr>
          <w:rFonts w:ascii="Verdana" w:hAnsi="Verdana" w:cs="Arial"/>
          <w:sz w:val="20"/>
          <w:lang w:val="pl-PL"/>
        </w:rPr>
        <w:t>, bez jej zastępowania inną spółką</w:t>
      </w:r>
      <w:r w:rsidR="005547B3" w:rsidRPr="00CE0814">
        <w:rPr>
          <w:rFonts w:ascii="Verdana" w:hAnsi="Verdana" w:cs="Arial"/>
          <w:sz w:val="20"/>
          <w:lang w:val="pl-PL"/>
        </w:rPr>
        <w:t>, z zastrzeżeniem ust. 3 i 4</w:t>
      </w:r>
      <w:r w:rsidR="00806387" w:rsidRPr="00CE0814">
        <w:rPr>
          <w:rFonts w:ascii="Verdana" w:hAnsi="Verdana" w:cs="Arial"/>
          <w:sz w:val="20"/>
          <w:lang w:val="pl-PL"/>
        </w:rPr>
        <w:t>.</w:t>
      </w:r>
    </w:p>
    <w:p w:rsidR="0099217D" w:rsidRPr="00CE0814" w:rsidRDefault="0099217D" w:rsidP="0099217D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Jeżeli </w:t>
      </w:r>
      <w:r w:rsidR="00F119D8" w:rsidRPr="00CE0814">
        <w:rPr>
          <w:rFonts w:ascii="Verdana" w:hAnsi="Verdana" w:cs="Arial"/>
          <w:sz w:val="20"/>
          <w:lang w:val="pl-PL"/>
        </w:rPr>
        <w:t xml:space="preserve">przed upływem 10 dni sesyjnych zawieszenia obrotu, o którym mowa </w:t>
      </w:r>
      <w:r w:rsidR="00832C5D" w:rsidRPr="00CE0814">
        <w:rPr>
          <w:rFonts w:ascii="Verdana" w:hAnsi="Verdana" w:cs="Arial"/>
          <w:sz w:val="20"/>
          <w:lang w:val="pl-PL"/>
        </w:rPr>
        <w:br/>
      </w:r>
      <w:r w:rsidR="00F119D8" w:rsidRPr="00CE0814">
        <w:rPr>
          <w:rFonts w:ascii="Verdana" w:hAnsi="Verdana" w:cs="Arial"/>
          <w:sz w:val="20"/>
          <w:lang w:val="pl-PL"/>
        </w:rPr>
        <w:t>w ust. 1</w:t>
      </w:r>
      <w:r w:rsidR="00ED3594" w:rsidRPr="00CE0814">
        <w:rPr>
          <w:rFonts w:ascii="Verdana" w:hAnsi="Verdana" w:cs="Arial"/>
          <w:sz w:val="20"/>
          <w:lang w:val="pl-PL"/>
        </w:rPr>
        <w:t>, nastą</w:t>
      </w:r>
      <w:r w:rsidR="00F119D8" w:rsidRPr="00CE0814">
        <w:rPr>
          <w:rFonts w:ascii="Verdana" w:hAnsi="Verdana" w:cs="Arial"/>
          <w:sz w:val="20"/>
          <w:lang w:val="pl-PL"/>
        </w:rPr>
        <w:t xml:space="preserve">pi </w:t>
      </w:r>
      <w:r w:rsidR="00142A3C" w:rsidRPr="00CE0814">
        <w:rPr>
          <w:rFonts w:ascii="Verdana" w:hAnsi="Verdana" w:cs="Arial"/>
          <w:sz w:val="20"/>
          <w:lang w:val="pl-PL"/>
        </w:rPr>
        <w:t xml:space="preserve">wznowienie obrotu akcjami spółki skreślonej z listy uczestników indeksu </w:t>
      </w:r>
      <w:r w:rsidRPr="00CE0814">
        <w:rPr>
          <w:rFonts w:ascii="Verdana" w:hAnsi="Verdana" w:cs="Arial"/>
          <w:sz w:val="20"/>
          <w:lang w:val="pl-PL"/>
        </w:rPr>
        <w:t xml:space="preserve">spółka ta podlega </w:t>
      </w:r>
      <w:r w:rsidR="00FE7597" w:rsidRPr="00CE0814">
        <w:rPr>
          <w:rFonts w:ascii="Verdana" w:hAnsi="Verdana" w:cs="Arial"/>
          <w:sz w:val="20"/>
          <w:lang w:val="pl-PL"/>
        </w:rPr>
        <w:t xml:space="preserve">niezwłocznie </w:t>
      </w:r>
      <w:r w:rsidRPr="00CE0814">
        <w:rPr>
          <w:rFonts w:ascii="Verdana" w:hAnsi="Verdana" w:cs="Arial"/>
          <w:sz w:val="20"/>
          <w:lang w:val="pl-PL"/>
        </w:rPr>
        <w:t xml:space="preserve">ponownemu wpisaniu na </w:t>
      </w:r>
      <w:r w:rsidR="006F17A6" w:rsidRPr="00CE0814">
        <w:rPr>
          <w:rFonts w:ascii="Verdana" w:hAnsi="Verdana" w:cs="Arial"/>
          <w:sz w:val="20"/>
          <w:lang w:val="pl-PL"/>
        </w:rPr>
        <w:t xml:space="preserve">tę </w:t>
      </w:r>
      <w:r w:rsidRPr="00CE0814">
        <w:rPr>
          <w:rFonts w:ascii="Verdana" w:hAnsi="Verdana" w:cs="Arial"/>
          <w:sz w:val="20"/>
          <w:lang w:val="pl-PL"/>
        </w:rPr>
        <w:t>listę.</w:t>
      </w:r>
    </w:p>
    <w:p w:rsidR="006F17A6" w:rsidRPr="00CE0814" w:rsidRDefault="006F17A6" w:rsidP="006F17A6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Po upływie 10 dni sesyjnych zawieszenia obrotu, o którym mowa w ust. 1, miejsce spółki skreślonej z listy uczestników indeksu zajmuje niezwłocznie spółka z listy rezerwowej</w:t>
      </w:r>
      <w:r w:rsidR="003B4A63" w:rsidRPr="00CE0814">
        <w:rPr>
          <w:rFonts w:ascii="Verdana" w:hAnsi="Verdana" w:cs="Arial"/>
          <w:sz w:val="20"/>
          <w:lang w:val="pl-PL"/>
        </w:rPr>
        <w:t xml:space="preserve"> uczestników indeksu</w:t>
      </w:r>
      <w:r w:rsidRPr="00CE0814">
        <w:rPr>
          <w:rFonts w:ascii="Verdana" w:hAnsi="Verdana" w:cs="Arial"/>
          <w:sz w:val="20"/>
          <w:lang w:val="pl-PL"/>
        </w:rPr>
        <w:t>.</w:t>
      </w:r>
    </w:p>
    <w:p w:rsidR="00E906AC" w:rsidRPr="00CE0814" w:rsidRDefault="00FE7597" w:rsidP="005D2259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nadzwyczajna</w:t>
      </w:r>
      <w:r w:rsidR="009F6EEE" w:rsidRPr="00CE0814">
        <w:rPr>
          <w:rFonts w:ascii="Verdana" w:hAnsi="Verdana" w:cs="Arial"/>
          <w:sz w:val="20"/>
          <w:lang w:val="pl-PL"/>
        </w:rPr>
        <w:t xml:space="preserve">, o której mowa w ust. </w:t>
      </w:r>
      <w:r w:rsidR="005547B3" w:rsidRPr="00CE0814">
        <w:rPr>
          <w:rFonts w:ascii="Verdana" w:hAnsi="Verdana" w:cs="Arial"/>
          <w:sz w:val="20"/>
          <w:lang w:val="pl-PL"/>
        </w:rPr>
        <w:t>4</w:t>
      </w:r>
      <w:r w:rsidR="009F6EEE" w:rsidRPr="00CE0814">
        <w:rPr>
          <w:rFonts w:ascii="Verdana" w:hAnsi="Verdana" w:cs="Arial"/>
          <w:sz w:val="20"/>
          <w:lang w:val="pl-PL"/>
        </w:rPr>
        <w:t xml:space="preserve">, </w:t>
      </w:r>
      <w:r w:rsidR="00E906AC" w:rsidRPr="00CE0814">
        <w:rPr>
          <w:rFonts w:ascii="Verdana" w:hAnsi="Verdana" w:cs="Arial"/>
          <w:sz w:val="20"/>
          <w:lang w:val="pl-PL"/>
        </w:rPr>
        <w:t>skutkuje korektą indeksów mWIG40 i sWIG80.</w:t>
      </w:r>
    </w:p>
    <w:p w:rsidR="009F6EEE" w:rsidRPr="00CE0814" w:rsidRDefault="009F6EEE" w:rsidP="009F6EE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14 </w:t>
      </w:r>
    </w:p>
    <w:p w:rsidR="009F6EEE" w:rsidRPr="00CE0814" w:rsidRDefault="009F6EEE" w:rsidP="009F6EEE">
      <w:pPr>
        <w:pStyle w:val="Tekstpodstawowy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9F6EEE" w:rsidRPr="00CE0814" w:rsidRDefault="009F6EEE" w:rsidP="009F6EEE">
      <w:pPr>
        <w:pStyle w:val="Tekstpodstawowy1"/>
        <w:numPr>
          <w:ilvl w:val="0"/>
          <w:numId w:val="2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dokonania korekty nadzwyczajnej miejsce spółki skreślonej z listy uczestników indeksu zajmuje spółka, która znalazła się w ostatnim rankingu indeksu na najwyższej pozycji, ale nie została do tego indeksu zakwalifikowana.</w:t>
      </w:r>
    </w:p>
    <w:p w:rsidR="009F6EEE" w:rsidRPr="00CE0814" w:rsidRDefault="009F6EEE" w:rsidP="009F6EEE">
      <w:pPr>
        <w:pStyle w:val="Tekstpodstawowy1"/>
        <w:numPr>
          <w:ilvl w:val="0"/>
          <w:numId w:val="2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nadzwyczajna indeksu skutkuje korektą indeksów mWIG40 i sWIG80.</w:t>
      </w:r>
    </w:p>
    <w:p w:rsidR="009F6EEE" w:rsidRPr="00CE0814" w:rsidRDefault="009F6EEE" w:rsidP="009F6EE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E906AC" w:rsidRPr="00CE0814" w:rsidRDefault="00E906A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2a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Dużych Spółek WIG20TR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F72220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14a</w:t>
      </w:r>
    </w:p>
    <w:p w:rsidR="00DD4B7C" w:rsidRPr="00CE0814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skład portfela indeksu wchodzą pakiety akcji spółek wchodzących w skład indeksu WIG20.</w:t>
      </w:r>
      <w:r w:rsidR="00A04222" w:rsidRPr="00CE0814">
        <w:rPr>
          <w:rFonts w:ascii="Verdana" w:hAnsi="Verdana" w:cs="Arial"/>
          <w:sz w:val="20"/>
          <w:lang w:val="pl-PL"/>
        </w:rPr>
        <w:t xml:space="preserve"> </w:t>
      </w:r>
    </w:p>
    <w:p w:rsidR="00DD4B7C" w:rsidRPr="00CE0814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31 grudnia 2004 roku.</w:t>
      </w:r>
    </w:p>
    <w:p w:rsidR="00DD4B7C" w:rsidRPr="00CE0814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1960,57 punktów.</w:t>
      </w:r>
    </w:p>
    <w:p w:rsidR="00DD4B7C" w:rsidRPr="00CE0814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="00DF771E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z tytułu dywidend oraz praw poboru (indeks dochodowy). W tym celu stosuje się współczynnik korygujący obliczany na podstawie następującego wzoru: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     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M(t’)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M(t)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oraz :</w:t>
      </w:r>
      <w:r w:rsidRPr="00CE0814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</w:t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    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 =   ————————  * N(i)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 xml:space="preserve">          S(i) + 1</w:t>
      </w:r>
    </w:p>
    <w:p w:rsidR="00DD4B7C" w:rsidRPr="00CE0814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D(t) -</w:t>
      </w:r>
      <w:r w:rsidRPr="00CE0814">
        <w:rPr>
          <w:rFonts w:ascii="Verdana" w:hAnsi="Verdana" w:cs="Arial"/>
          <w:sz w:val="20"/>
          <w:lang w:val="pl-PL"/>
        </w:rPr>
        <w:tab/>
      </w:r>
      <w:r w:rsidR="00DD4B7C" w:rsidRPr="00CE0814">
        <w:rPr>
          <w:rFonts w:ascii="Verdana" w:hAnsi="Verdana" w:cs="Arial"/>
          <w:sz w:val="20"/>
          <w:lang w:val="pl-PL"/>
        </w:rPr>
        <w:t>wartość dywidendy z akcji lub wartość teoretyczna dywidendy z akcji (obliczana przez Giełdę zgodnie ze Szczegółowymi Zasadami Obrotu Giełdowego</w:t>
      </w:r>
      <w:r w:rsidR="00731154" w:rsidRPr="00CE0814">
        <w:rPr>
          <w:rFonts w:ascii="Verdana" w:hAnsi="Verdana" w:cs="Arial"/>
          <w:sz w:val="20"/>
          <w:lang w:val="pl-PL"/>
        </w:rPr>
        <w:t xml:space="preserve"> w systemie UTP</w:t>
      </w:r>
      <w:r w:rsidR="00DD4B7C" w:rsidRPr="00CE0814">
        <w:rPr>
          <w:rFonts w:ascii="Verdana" w:hAnsi="Verdana" w:cs="Arial"/>
          <w:sz w:val="20"/>
          <w:lang w:val="pl-PL"/>
        </w:rPr>
        <w:t>), które na sesji „t+1” po raz pierwszy będą notowane „bez dywidendy”; w przypadku ustalenia dywidendy w walucie obcej, kwota dywidendy zostaje przeliczona na złote</w:t>
      </w: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V(t) -</w:t>
      </w:r>
      <w:r w:rsidRPr="00CE0814">
        <w:rPr>
          <w:rFonts w:ascii="Verdana" w:hAnsi="Verdana" w:cs="Arial"/>
          <w:sz w:val="20"/>
          <w:lang w:val="pl-PL"/>
        </w:rPr>
        <w:tab/>
      </w:r>
      <w:r w:rsidR="00DD4B7C" w:rsidRPr="00CE0814">
        <w:rPr>
          <w:rFonts w:ascii="Verdana" w:hAnsi="Verdana" w:cs="Arial"/>
          <w:sz w:val="20"/>
          <w:lang w:val="pl-PL"/>
        </w:rPr>
        <w:t>wartość teoretyczna praw poboru z akcji, które na sesji „t+1” po raz pierwszy będą notowane „bez prawa poboru”</w:t>
      </w: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</w:r>
      <w:r w:rsidR="00DD4B7C" w:rsidRPr="00CE0814">
        <w:rPr>
          <w:rFonts w:ascii="Verdana" w:hAnsi="Verdana" w:cs="Arial"/>
          <w:sz w:val="20"/>
          <w:lang w:val="pl-PL"/>
        </w:rPr>
        <w:t>wartość teoretyczna praw poboru z akcji „i”, które na sesji „t+1” po raz pierwszy będą notowane „bez prawa poboru”; wartości teoretycznej V(</w:t>
      </w:r>
      <w:proofErr w:type="spellStart"/>
      <w:r w:rsidR="00DD4B7C"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="00DD4B7C" w:rsidRPr="00CE0814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="00DD4B7C"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="00DD4B7C" w:rsidRPr="00CE0814">
        <w:rPr>
          <w:rFonts w:ascii="Verdana" w:hAnsi="Verdana" w:cs="Arial"/>
          <w:sz w:val="20"/>
          <w:lang w:val="pl-PL"/>
        </w:rPr>
        <w:t>) jest wyższa od kursu akcji</w:t>
      </w:r>
      <w:r w:rsidR="006E6FD8" w:rsidRPr="00CE0814">
        <w:rPr>
          <w:rFonts w:ascii="Verdana" w:hAnsi="Verdana" w:cs="Arial"/>
          <w:sz w:val="20"/>
          <w:lang w:val="pl-PL"/>
        </w:rPr>
        <w:t> </w:t>
      </w:r>
      <w:r w:rsidR="00DD4B7C"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="00DD4B7C"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="00DD4B7C" w:rsidRPr="00CE0814">
        <w:rPr>
          <w:rFonts w:ascii="Verdana" w:hAnsi="Verdana" w:cs="Arial"/>
          <w:sz w:val="20"/>
          <w:lang w:val="pl-PL"/>
        </w:rPr>
        <w:t>)</w:t>
      </w: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Q(t) -</w:t>
      </w:r>
      <w:r w:rsidRPr="00CE0814">
        <w:rPr>
          <w:rFonts w:ascii="Verdana" w:hAnsi="Verdana" w:cs="Arial"/>
          <w:sz w:val="20"/>
          <w:lang w:val="pl-PL"/>
        </w:rPr>
        <w:tab/>
      </w:r>
      <w:r w:rsidR="00DD4B7C" w:rsidRPr="00CE0814">
        <w:rPr>
          <w:rFonts w:ascii="Verdana" w:hAnsi="Verdana" w:cs="Arial"/>
          <w:sz w:val="20"/>
          <w:lang w:val="pl-PL"/>
        </w:rPr>
        <w:t>wartość rynkowa akcji wprowadzanych (+), bądź wyłączanych (-) z</w:t>
      </w:r>
      <w:r w:rsidR="006E6FD8" w:rsidRPr="00CE0814">
        <w:rPr>
          <w:rFonts w:ascii="Verdana" w:hAnsi="Verdana" w:cs="Arial"/>
          <w:sz w:val="20"/>
          <w:lang w:val="pl-PL"/>
        </w:rPr>
        <w:t> </w:t>
      </w:r>
      <w:r w:rsidR="00DD4B7C" w:rsidRPr="00CE0814">
        <w:rPr>
          <w:rFonts w:ascii="Verdana" w:hAnsi="Verdana" w:cs="Arial"/>
          <w:sz w:val="20"/>
          <w:lang w:val="pl-PL"/>
        </w:rPr>
        <w:t>portfela indeksu po sesji „t”; dotyczy to zarówno zwiększania pakietów akcji spółek wcześniej uczestniczących w indeksie, jak również akcji spółek jeszcze nie uczestniczących w indeksie</w:t>
      </w: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</w:r>
      <w:r w:rsidR="00DD4B7C" w:rsidRPr="00CE0814">
        <w:rPr>
          <w:rFonts w:ascii="Verdana" w:hAnsi="Verdana" w:cs="Arial"/>
          <w:sz w:val="20"/>
          <w:lang w:val="pl-PL"/>
        </w:rPr>
        <w:t xml:space="preserve">kurs akcji „i” na sesji „t” </w:t>
      </w: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</w:r>
      <w:r w:rsidR="00DD4B7C" w:rsidRPr="00CE0814">
        <w:rPr>
          <w:rFonts w:ascii="Verdana" w:hAnsi="Verdana" w:cs="Arial"/>
          <w:sz w:val="20"/>
          <w:lang w:val="pl-PL"/>
        </w:rPr>
        <w:t>cena akcji nowej emisji z prawem poboru spółki „i”</w:t>
      </w:r>
    </w:p>
    <w:p w:rsidR="00DD4B7C" w:rsidRPr="00CE0814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S(i) -</w:t>
      </w:r>
      <w:r w:rsidR="00DD4B7C" w:rsidRPr="00CE0814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DD4B7C" w:rsidRPr="00CE0814" w:rsidRDefault="00DD4B7C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N(i) -</w:t>
      </w:r>
      <w:r w:rsidR="0056728B"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>liczba akcji spółki „i” w portfelu indeksu.</w:t>
      </w:r>
    </w:p>
    <w:p w:rsidR="00DD4B7C" w:rsidRPr="00CE0814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Rewizja roczna, korekta kwartalna i korekta nadzwyczajna uczestników indeksu przeprowadzane są zgodnie z zasadami przewidzianymi dla indeksu WIG20. 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010CC3" w:rsidRPr="00CE0814" w:rsidRDefault="00010CC3" w:rsidP="008B1DCE">
      <w:pPr>
        <w:jc w:val="center"/>
        <w:rPr>
          <w:rFonts w:ascii="Verdana" w:hAnsi="Verdana" w:cs="Arial"/>
          <w:sz w:val="20"/>
        </w:rPr>
      </w:pPr>
    </w:p>
    <w:p w:rsidR="00DD4B7C" w:rsidRPr="00CE0814" w:rsidRDefault="00DD4B7C" w:rsidP="008B1DCE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sz w:val="20"/>
        </w:rPr>
        <w:t>Oddział 3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Średnich Spółek mWIG40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15 </w:t>
      </w:r>
    </w:p>
    <w:p w:rsidR="00DD4B7C" w:rsidRPr="00CE0814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skład portfela indeksu wchodzą pakiety akcji 40 spółek. W szczególnie uzasadnionych przypadkach dopuszcza się sytuację, że w indeksie uczestniczy więcej lub mniej niż 40 spółek.</w:t>
      </w:r>
    </w:p>
    <w:p w:rsidR="00DD4B7C" w:rsidRPr="00CE0814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31 grudnia 1997 roku.</w:t>
      </w:r>
    </w:p>
    <w:p w:rsidR="00DD4B7C" w:rsidRPr="00CE0814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DD4B7C" w:rsidRPr="00CE0814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DD4B7C" w:rsidRPr="00CE0814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notowania akcji spółki po raz pierwszy „bez prawa poboru” z kursem odniesienia, niższym niż ostatni kurs zamknięcia, pakiet akcji tej spółki nie jest uwzględniany na pierwszej sesji „bez prawa poboru” w portfelu indeksu. Zapowiedź przewidywanej zmiany w portfelu indeksu związanej z niniejszą operacją może zostać podana do publicznej wiadomości na 1 dzień przed dniem ostatniego notowania akcji danej spółki z prawem poboru. Informacje o przeprowadzeniu niniejszej operacji podawane są do publicznej wiadomości po zakończeniu sesji, podczas której akcje tej spółki były po raz ostatni notowane z prawem poboru.</w:t>
      </w:r>
    </w:p>
    <w:p w:rsidR="00DD4B7C" w:rsidRPr="00CE0814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Na listę uczestników indeksu nie mogą być wpisane spółki z siedzibą poza terytorium Rzeczypospolitej Polskiej, notowane jednocześnie na Giełdzie i innych rynkach o wartości rynkowej w dniu rankingu powyżej 1 mld euro.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16</w:t>
      </w:r>
    </w:p>
    <w:p w:rsidR="00DD4B7C" w:rsidRPr="00CE0814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Rewizja roczna indeksu przeprowadzana jest po sesji trzeciego piątku marca na podstawie rankingu sporządzonego </w:t>
      </w:r>
      <w:r w:rsidR="005B6664" w:rsidRPr="00CE0814">
        <w:rPr>
          <w:rFonts w:ascii="Verdana" w:hAnsi="Verdana" w:cs="Arial"/>
          <w:sz w:val="20"/>
          <w:lang w:val="pl-PL"/>
        </w:rPr>
        <w:t xml:space="preserve">na </w:t>
      </w:r>
      <w:r w:rsidR="000E1575" w:rsidRPr="00CE0814">
        <w:rPr>
          <w:rFonts w:ascii="Verdana" w:hAnsi="Verdana" w:cs="Arial"/>
          <w:sz w:val="20"/>
          <w:lang w:val="pl-PL"/>
        </w:rPr>
        <w:t>4 tygodnie przed dniem rewizji</w:t>
      </w:r>
      <w:r w:rsidRPr="00CE0814">
        <w:rPr>
          <w:rFonts w:ascii="Verdana" w:hAnsi="Verdana" w:cs="Arial"/>
          <w:sz w:val="20"/>
          <w:lang w:val="pl-PL"/>
        </w:rPr>
        <w:t>, a jej celem jest wyznaczenie nowych pakietów akcji wszystkich uczestników indeksu.</w:t>
      </w:r>
    </w:p>
    <w:p w:rsidR="00DD4B7C" w:rsidRPr="00CE0814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Uczestnikami indeksu po rewizji rocznej zostają spółki, które zajęły co najmniej </w:t>
      </w:r>
      <w:r w:rsidR="005B666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50 pozycję w rankingu, zaś opuszczają go spółki, które zajęły pozycję niższą niż 65.</w:t>
      </w:r>
    </w:p>
    <w:p w:rsidR="00DD4B7C" w:rsidRPr="00CE0814" w:rsidRDefault="00995BC0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</w:t>
      </w:r>
      <w:r w:rsidR="00DD4B7C" w:rsidRPr="00CE0814">
        <w:rPr>
          <w:rFonts w:ascii="Verdana" w:hAnsi="Verdana" w:cs="Arial"/>
          <w:sz w:val="20"/>
          <w:lang w:val="pl-PL"/>
        </w:rPr>
        <w:t xml:space="preserve"> indeksu po rewizji rocznej pozostają również spółki, które zajęły najwyższą pozycję pomiędzy </w:t>
      </w:r>
      <w:smartTag w:uri="urn:schemas-microsoft-com:office:smarttags" w:element="metricconverter">
        <w:smartTagPr>
          <w:attr w:name="ProductID" w:val="51 a"/>
        </w:smartTagPr>
        <w:r w:rsidR="00DD4B7C" w:rsidRPr="00CE0814">
          <w:rPr>
            <w:rFonts w:ascii="Verdana" w:hAnsi="Verdana" w:cs="Arial"/>
            <w:sz w:val="20"/>
            <w:lang w:val="pl-PL"/>
          </w:rPr>
          <w:t>51 a</w:t>
        </w:r>
      </w:smartTag>
      <w:r w:rsidR="00DD4B7C" w:rsidRPr="00CE0814">
        <w:rPr>
          <w:rFonts w:ascii="Verdana" w:hAnsi="Verdana" w:cs="Arial"/>
          <w:sz w:val="20"/>
          <w:lang w:val="pl-PL"/>
        </w:rPr>
        <w:t xml:space="preserve"> 65, jeżeli na liście uczestników zwolniło się miejsce i liczba uczestników spadła poniżej 40.</w:t>
      </w:r>
    </w:p>
    <w:p w:rsidR="00DD4B7C" w:rsidRPr="00CE0814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DD4B7C" w:rsidRPr="00CE0814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17</w:t>
      </w:r>
    </w:p>
    <w:p w:rsidR="00DD4B7C" w:rsidRPr="00CE0814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kwartalna jest przeprowadzana po sesji trzeciego pią</w:t>
      </w:r>
      <w:r w:rsidR="004171EB" w:rsidRPr="00CE0814">
        <w:rPr>
          <w:rFonts w:ascii="Verdana" w:hAnsi="Verdana" w:cs="Arial"/>
          <w:sz w:val="20"/>
          <w:lang w:val="pl-PL"/>
        </w:rPr>
        <w:t>tku czerwca, września i grudnia</w:t>
      </w:r>
      <w:r w:rsidR="000B1C02" w:rsidRPr="00CE0814">
        <w:rPr>
          <w:rFonts w:ascii="Verdana" w:hAnsi="Verdana" w:cs="Arial"/>
          <w:sz w:val="20"/>
          <w:lang w:val="pl-PL"/>
        </w:rPr>
        <w:t>,</w:t>
      </w:r>
      <w:r w:rsidRPr="00CE0814">
        <w:rPr>
          <w:rFonts w:ascii="Verdana" w:hAnsi="Verdana" w:cs="Arial"/>
          <w:sz w:val="20"/>
          <w:lang w:val="pl-PL"/>
        </w:rPr>
        <w:t xml:space="preserve"> na podstawie rankingu sporządzonego </w:t>
      </w:r>
      <w:r w:rsidR="005B6664" w:rsidRPr="00CE0814">
        <w:rPr>
          <w:rFonts w:ascii="Verdana" w:hAnsi="Verdana" w:cs="Arial"/>
          <w:sz w:val="20"/>
          <w:lang w:val="pl-PL"/>
        </w:rPr>
        <w:t xml:space="preserve">na </w:t>
      </w:r>
      <w:r w:rsidR="000E1575" w:rsidRPr="00CE0814">
        <w:rPr>
          <w:rFonts w:ascii="Verdana" w:hAnsi="Verdana" w:cs="Arial"/>
          <w:sz w:val="20"/>
          <w:lang w:val="pl-PL"/>
        </w:rPr>
        <w:t>4 tygodnie przed dniem korekty</w:t>
      </w:r>
      <w:r w:rsidRPr="00CE0814">
        <w:rPr>
          <w:rFonts w:ascii="Verdana" w:hAnsi="Verdana" w:cs="Arial"/>
          <w:sz w:val="20"/>
          <w:lang w:val="pl-PL"/>
        </w:rPr>
        <w:t>,</w:t>
      </w:r>
      <w:r w:rsidR="00ED5FB3" w:rsidRPr="00CE0814">
        <w:rPr>
          <w:rFonts w:ascii="Verdana" w:hAnsi="Verdana" w:cs="Arial"/>
          <w:sz w:val="20"/>
          <w:lang w:val="pl-PL"/>
        </w:rPr>
        <w:t xml:space="preserve"> </w:t>
      </w:r>
      <w:r w:rsidRPr="00CE0814">
        <w:rPr>
          <w:rFonts w:ascii="Verdana" w:hAnsi="Verdana" w:cs="Arial"/>
          <w:sz w:val="20"/>
          <w:lang w:val="pl-PL"/>
        </w:rPr>
        <w:t>a jej celem jest przeprowadzenie niezbędnych zmian składu uczestników.</w:t>
      </w:r>
    </w:p>
    <w:p w:rsidR="00DD4B7C" w:rsidRPr="00CE0814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Uczestnikami indeksu po korekcie kwartalnej zostają spółki, które zajęły co najmniej 45 pozycję w </w:t>
      </w:r>
      <w:r w:rsidR="006479E8" w:rsidRPr="00CE0814">
        <w:rPr>
          <w:rFonts w:ascii="Verdana" w:hAnsi="Verdana" w:cs="Arial"/>
          <w:sz w:val="20"/>
          <w:lang w:val="pl-PL"/>
        </w:rPr>
        <w:t>r</w:t>
      </w:r>
      <w:r w:rsidRPr="00CE0814">
        <w:rPr>
          <w:rFonts w:ascii="Verdana" w:hAnsi="Verdana" w:cs="Arial"/>
          <w:sz w:val="20"/>
          <w:lang w:val="pl-PL"/>
        </w:rPr>
        <w:t>ankingu, zaś opuszczają go spółki, które zajęły pozycję niższą niż 70.</w:t>
      </w:r>
    </w:p>
    <w:p w:rsidR="00DD4B7C" w:rsidRPr="00CE0814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Uczestnikiem indeksu po korekcie kwartalnej pozostają również spółki, które zajęły najwyższą pozycję pomiędzy </w:t>
      </w:r>
      <w:smartTag w:uri="urn:schemas-microsoft-com:office:smarttags" w:element="metricconverter">
        <w:smartTagPr>
          <w:attr w:name="ProductID" w:val="46 a"/>
        </w:smartTagPr>
        <w:r w:rsidRPr="00CE0814">
          <w:rPr>
            <w:rFonts w:ascii="Verdana" w:hAnsi="Verdana" w:cs="Arial"/>
            <w:sz w:val="20"/>
            <w:lang w:val="pl-PL"/>
          </w:rPr>
          <w:t>46 a</w:t>
        </w:r>
      </w:smartTag>
      <w:r w:rsidRPr="00CE0814">
        <w:rPr>
          <w:rFonts w:ascii="Verdana" w:hAnsi="Verdana" w:cs="Arial"/>
          <w:sz w:val="20"/>
          <w:lang w:val="pl-PL"/>
        </w:rPr>
        <w:t xml:space="preserve"> 70, jeżeli na liście uczestników zwolniło się miejsce i liczba uczestników spadła poniżej 40.</w:t>
      </w:r>
    </w:p>
    <w:p w:rsidR="00DD4B7C" w:rsidRPr="00CE0814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DD4B7C" w:rsidRPr="00CE0814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FE7597" w:rsidRPr="00CE0814" w:rsidRDefault="00FE7597" w:rsidP="00FE759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17a </w:t>
      </w:r>
    </w:p>
    <w:p w:rsidR="00FE7597" w:rsidRPr="00CE0814" w:rsidRDefault="00FE7597" w:rsidP="005D2259">
      <w:pPr>
        <w:pStyle w:val="Tekstpodstawowy"/>
        <w:numPr>
          <w:ilvl w:val="0"/>
          <w:numId w:val="58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przypadku zawieszenia obrotu akcjami danej spółki na żądanie Komisji Nadzoru Finansowego może zostać przeprowadzona nadzwyczajna korekta uczestników indeksu.</w:t>
      </w:r>
    </w:p>
    <w:p w:rsidR="00FE7597" w:rsidRPr="00CE0814" w:rsidRDefault="00FE7597" w:rsidP="005D2259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zawieszenia obrotu, o którym mowa w ust. 1, dana spółka może zostać niez</w:t>
      </w:r>
      <w:r w:rsidR="00464231" w:rsidRPr="00CE0814">
        <w:rPr>
          <w:rFonts w:ascii="Verdana" w:hAnsi="Verdana" w:cs="Arial"/>
          <w:sz w:val="20"/>
          <w:lang w:val="pl-PL"/>
        </w:rPr>
        <w:t>w</w:t>
      </w:r>
      <w:r w:rsidRPr="00CE0814">
        <w:rPr>
          <w:rFonts w:ascii="Verdana" w:hAnsi="Verdana" w:cs="Arial"/>
          <w:sz w:val="20"/>
          <w:lang w:val="pl-PL"/>
        </w:rPr>
        <w:t>łocznie skreślona z listy uczestników indeksu, bez jej zastępowania inną spółką, z zastrzeżeniem ust. 3 i 4.</w:t>
      </w:r>
    </w:p>
    <w:p w:rsidR="00FE7597" w:rsidRPr="00CE0814" w:rsidRDefault="00FE7597" w:rsidP="005D2259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Jeżeli przed upływem 10 dni sesyjnych zawieszenia obrotu, o którym mowa </w:t>
      </w:r>
      <w:r w:rsidR="00832C5D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w ust. 1</w:t>
      </w:r>
      <w:r w:rsidR="00ED3594" w:rsidRPr="00CE0814">
        <w:rPr>
          <w:rFonts w:ascii="Verdana" w:hAnsi="Verdana" w:cs="Arial"/>
          <w:sz w:val="20"/>
          <w:lang w:val="pl-PL"/>
        </w:rPr>
        <w:t>, nastą</w:t>
      </w:r>
      <w:r w:rsidRPr="00CE0814">
        <w:rPr>
          <w:rFonts w:ascii="Verdana" w:hAnsi="Verdana" w:cs="Arial"/>
          <w:sz w:val="20"/>
          <w:lang w:val="pl-PL"/>
        </w:rPr>
        <w:t xml:space="preserve">pi wznowienie obrotu akcjami spółki skreślonej z listy uczestników indeksu spółka ta podlega niezwłocznie ponownemu wpisaniu na </w:t>
      </w:r>
      <w:r w:rsidR="006F17A6" w:rsidRPr="00CE0814">
        <w:rPr>
          <w:rFonts w:ascii="Verdana" w:hAnsi="Verdana" w:cs="Arial"/>
          <w:sz w:val="20"/>
          <w:lang w:val="pl-PL"/>
        </w:rPr>
        <w:t>tę listę</w:t>
      </w:r>
      <w:r w:rsidRPr="00CE0814">
        <w:rPr>
          <w:rFonts w:ascii="Verdana" w:hAnsi="Verdana" w:cs="Arial"/>
          <w:sz w:val="20"/>
          <w:lang w:val="pl-PL"/>
        </w:rPr>
        <w:t>.</w:t>
      </w:r>
    </w:p>
    <w:p w:rsidR="006F17A6" w:rsidRPr="00CE0814" w:rsidRDefault="006F17A6" w:rsidP="006F17A6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Po upływie 10 dni sesyjnych zawieszenia obrotu, o którym mowa w ust. 1, miejsce spółki skreślonej z listy uczestników indeksu zajmuje niezwłocznie spółka z listy rezerwowej</w:t>
      </w:r>
      <w:r w:rsidR="003B4A63" w:rsidRPr="00CE0814">
        <w:rPr>
          <w:rFonts w:ascii="Verdana" w:hAnsi="Verdana" w:cs="Arial"/>
          <w:sz w:val="20"/>
          <w:lang w:val="pl-PL"/>
        </w:rPr>
        <w:t xml:space="preserve"> uczestników indeksu</w:t>
      </w:r>
      <w:r w:rsidRPr="00CE0814">
        <w:rPr>
          <w:rFonts w:ascii="Verdana" w:hAnsi="Verdana" w:cs="Arial"/>
          <w:sz w:val="20"/>
          <w:lang w:val="pl-PL"/>
        </w:rPr>
        <w:t>.</w:t>
      </w:r>
    </w:p>
    <w:p w:rsidR="00FE7597" w:rsidRPr="00CE0814" w:rsidRDefault="00FE7597" w:rsidP="005D2259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nadzwyczajna, o której mowa w ust. 4, skutkuje korektą indeksu sWIG80.</w:t>
      </w:r>
    </w:p>
    <w:p w:rsidR="000C7D1A" w:rsidRPr="00CE0814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18</w:t>
      </w:r>
    </w:p>
    <w:p w:rsidR="00DD4B7C" w:rsidRPr="00CE0814" w:rsidRDefault="00DD4B7C" w:rsidP="00A04312">
      <w:pPr>
        <w:pStyle w:val="Tekstpodstawowy"/>
        <w:numPr>
          <w:ilvl w:val="0"/>
          <w:numId w:val="24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DD4B7C" w:rsidRPr="00CE0814" w:rsidRDefault="00DD4B7C" w:rsidP="00A04312">
      <w:pPr>
        <w:pStyle w:val="Tekstpodstawowy1"/>
        <w:numPr>
          <w:ilvl w:val="0"/>
          <w:numId w:val="2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72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przypadku dokonania korekty nadzwyczajnej miejsce spółki skreślonej z listy uczestników indeksu zajmuje spółka, która znalazła się w </w:t>
      </w:r>
      <w:r w:rsidR="00BE6F94" w:rsidRPr="00CE0814">
        <w:rPr>
          <w:rFonts w:ascii="Verdana" w:hAnsi="Verdana" w:cs="Arial"/>
          <w:sz w:val="20"/>
          <w:lang w:val="pl-PL"/>
        </w:rPr>
        <w:t xml:space="preserve">ostatnim </w:t>
      </w:r>
      <w:r w:rsidRPr="00CE0814">
        <w:rPr>
          <w:rFonts w:ascii="Verdana" w:hAnsi="Verdana" w:cs="Arial"/>
          <w:sz w:val="20"/>
          <w:lang w:val="pl-PL"/>
        </w:rPr>
        <w:t>rankingu indeksu na najwyższej pozycji, ale nie została do tego indeksu zakwalifikowana.</w:t>
      </w:r>
    </w:p>
    <w:p w:rsidR="0000039E" w:rsidRPr="00CE0814" w:rsidRDefault="0000039E" w:rsidP="00A04312">
      <w:pPr>
        <w:pStyle w:val="Tekstpodstawowy1"/>
        <w:numPr>
          <w:ilvl w:val="0"/>
          <w:numId w:val="2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72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nadzwyczajna indeksu skutkuje korektą indeksu sWIG80.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010CC3" w:rsidRPr="00CE0814" w:rsidRDefault="00010CC3">
      <w:pPr>
        <w:rPr>
          <w:rFonts w:ascii="Verdana" w:hAnsi="Verdana" w:cs="Arial"/>
          <w:color w:val="000000"/>
          <w:sz w:val="20"/>
          <w:szCs w:val="20"/>
        </w:rPr>
      </w:pPr>
    </w:p>
    <w:p w:rsidR="004440B8" w:rsidRPr="00CE0814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3a</w:t>
      </w:r>
    </w:p>
    <w:p w:rsidR="004440B8" w:rsidRPr="00CE0814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Średnich Spółek mWIG40TR</w:t>
      </w:r>
    </w:p>
    <w:p w:rsidR="004440B8" w:rsidRPr="00CE0814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9000"/>
        </w:tabs>
        <w:spacing w:line="360" w:lineRule="auto"/>
        <w:ind w:right="-1"/>
        <w:jc w:val="both"/>
        <w:rPr>
          <w:rFonts w:ascii="Verdana" w:hAnsi="Verdana" w:cs="Arial"/>
          <w:sz w:val="20"/>
          <w:lang w:val="pl-PL"/>
        </w:rPr>
      </w:pPr>
    </w:p>
    <w:p w:rsidR="004440B8" w:rsidRPr="00CE0814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18a</w:t>
      </w:r>
    </w:p>
    <w:p w:rsidR="004440B8" w:rsidRPr="00CE0814" w:rsidRDefault="004440B8" w:rsidP="004440B8">
      <w:pPr>
        <w:pStyle w:val="Tekstpodstawowy1"/>
        <w:numPr>
          <w:ilvl w:val="0"/>
          <w:numId w:val="5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skład portfela indeksu wchodzą pakiety akcji spółek wchodzących w skład indeksu mWIG40. </w:t>
      </w:r>
    </w:p>
    <w:p w:rsidR="004440B8" w:rsidRPr="00CE0814" w:rsidRDefault="004440B8" w:rsidP="004440B8">
      <w:pPr>
        <w:pStyle w:val="Tekstpodstawowy1"/>
        <w:numPr>
          <w:ilvl w:val="0"/>
          <w:numId w:val="5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31 grudnia 2009 r.</w:t>
      </w:r>
    </w:p>
    <w:p w:rsidR="004440B8" w:rsidRPr="00CE0814" w:rsidRDefault="004440B8" w:rsidP="004440B8">
      <w:pPr>
        <w:pStyle w:val="Tekstpodstawowy1"/>
        <w:numPr>
          <w:ilvl w:val="0"/>
          <w:numId w:val="5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2346,1</w:t>
      </w:r>
      <w:r w:rsidR="00291D86" w:rsidRPr="00CE0814">
        <w:rPr>
          <w:rFonts w:ascii="Verdana" w:hAnsi="Verdana" w:cs="Arial"/>
          <w:sz w:val="20"/>
          <w:lang w:val="pl-PL"/>
        </w:rPr>
        <w:t>4</w:t>
      </w:r>
      <w:r w:rsidRPr="00CE0814">
        <w:rPr>
          <w:rFonts w:ascii="Verdana" w:hAnsi="Verdana" w:cs="Arial"/>
          <w:sz w:val="20"/>
          <w:lang w:val="pl-PL"/>
        </w:rPr>
        <w:t xml:space="preserve"> punktów.</w:t>
      </w:r>
    </w:p>
    <w:p w:rsidR="004440B8" w:rsidRPr="00CE0814" w:rsidRDefault="004440B8" w:rsidP="004440B8">
      <w:pPr>
        <w:pStyle w:val="Tekstpodstawowy1"/>
        <w:numPr>
          <w:ilvl w:val="0"/>
          <w:numId w:val="50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Pr="00CE0814">
        <w:rPr>
          <w:rFonts w:ascii="Verdana" w:hAnsi="Verdana" w:cs="Arial"/>
          <w:sz w:val="20"/>
          <w:lang w:val="pl-PL"/>
        </w:rPr>
        <w:br/>
        <w:t>z tytułu dywidend oraz praw poboru (indeks dochodowy). W tym celu stosuje się współczynnik korygujący obliczany na podstawie następującego wzoru: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     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M(t’)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oraz :</w:t>
      </w:r>
      <w:r w:rsidRPr="00CE0814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</w:t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          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 =   ————————  * N(i)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S(i) + 1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D(t) -</w:t>
      </w:r>
      <w:r w:rsidRPr="00CE0814">
        <w:rPr>
          <w:rFonts w:ascii="Verdana" w:hAnsi="Verdana" w:cs="Arial"/>
          <w:sz w:val="20"/>
          <w:lang w:val="pl-PL"/>
        </w:rPr>
        <w:tab/>
        <w:t>wartość dywidendy z akcji lub wartość teoretyczna dywidendy z akcji (obliczana przez Giełdę zgodnie ze Szczegółowymi Zasadami Obrotu Giełdowego w systemie UTP), które na sesji „t+1” po raz pierwszy będą notowane „bez dywidendy”; w przypadku ustalenia dywidendy w walucie obcej, kwota dywidendy zostaje przeliczona na złote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V(t) -</w:t>
      </w:r>
      <w:r w:rsidRPr="00CE0814">
        <w:rPr>
          <w:rFonts w:ascii="Verdana" w:hAnsi="Verdana" w:cs="Arial"/>
          <w:sz w:val="20"/>
          <w:lang w:val="pl-PL"/>
        </w:rPr>
        <w:tab/>
        <w:t>wartość teoretyczna praw poboru z akcji, które na sesji „t+1” po raz pierwszy będą notowane „bez prawa poboru”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>wartość teoretyczna praw poboru z akcji „i”, które na sesji „t+1” po raz pierwszy będą notowane „bez prawa poboru”; wartości teoretycznej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jest wyższa od kursu akcji 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Q(t) -</w:t>
      </w:r>
      <w:r w:rsidRPr="00CE0814">
        <w:rPr>
          <w:rFonts w:ascii="Verdana" w:hAnsi="Verdana" w:cs="Arial"/>
          <w:sz w:val="20"/>
          <w:lang w:val="pl-PL"/>
        </w:rPr>
        <w:tab/>
        <w:t>wartość rynkowa akcji wprowadzanych (+), bądź wyłączanych (-) z portfela indeksu po sesji „t”; dotyczy to zarówno zwiększania pakietów akcji spółek wcześniej uczestniczących w indeksie, jak również akcji spółek jeszcze nie uczestniczących w indeksie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 xml:space="preserve">kurs akcji „i” na sesji „t” 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>cena akcji nowej emisji z prawem poboru spółki „i”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S(i) -</w:t>
      </w:r>
      <w:r w:rsidRPr="00CE0814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4440B8" w:rsidRPr="00CE0814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N(i) -</w:t>
      </w:r>
      <w:r w:rsidRPr="00CE0814">
        <w:rPr>
          <w:rFonts w:ascii="Verdana" w:hAnsi="Verdana" w:cs="Arial"/>
          <w:sz w:val="20"/>
          <w:lang w:val="pl-PL"/>
        </w:rPr>
        <w:tab/>
        <w:t>liczba akcji spółki „i” w portfelu indeksu.</w:t>
      </w:r>
    </w:p>
    <w:p w:rsidR="004440B8" w:rsidRPr="00CE0814" w:rsidRDefault="004440B8" w:rsidP="004440B8">
      <w:pPr>
        <w:pStyle w:val="Tekstpodstawowy1"/>
        <w:numPr>
          <w:ilvl w:val="0"/>
          <w:numId w:val="50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Rewizja roczna, korekta kwartalna i korekta nadzwyczajna uczestników indeksu przeprowadzane są zgodnie z zasadami przewidzianymi dla indeksu mWIG40.</w:t>
      </w:r>
    </w:p>
    <w:p w:rsidR="004440B8" w:rsidRPr="00CE0814" w:rsidRDefault="004440B8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4440B8" w:rsidRPr="00CE0814" w:rsidRDefault="004440B8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4</w:t>
      </w: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Małych Spółek sWIG80</w:t>
      </w: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19</w:t>
      </w:r>
    </w:p>
    <w:p w:rsidR="0000039E" w:rsidRPr="00CE0814" w:rsidRDefault="0000039E" w:rsidP="00A04312">
      <w:pPr>
        <w:pStyle w:val="Tekstpodstawowy1"/>
        <w:numPr>
          <w:ilvl w:val="0"/>
          <w:numId w:val="3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skład portfela indeksu wchodzą pakiety akcji 80 spółek. W szczególnie uzasadnionych przypadkach dopuszcza się sytuację, że w indeksie uczestniczy więcej lub mniej niż 80 spółek.</w:t>
      </w:r>
    </w:p>
    <w:p w:rsidR="0000039E" w:rsidRPr="00CE0814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31 grudnia 1994 roku.</w:t>
      </w:r>
    </w:p>
    <w:p w:rsidR="0000039E" w:rsidRPr="00CE0814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00039E" w:rsidRPr="00CE0814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00039E" w:rsidRPr="00CE0814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notowania akcji spółki po raz pierwszy „bez prawa poboru” z kursem odniesienia, niższym niż ostatni kurs zamknięcia, pakiet akcji tej spółki nie jest uwzględniany na pierwszej sesji „bez prawa poboru” w portfelu indeksu.</w:t>
      </w:r>
      <w:r w:rsidR="00B84B44" w:rsidRPr="00CE0814">
        <w:rPr>
          <w:rFonts w:ascii="Verdana" w:hAnsi="Verdana" w:cs="Arial"/>
          <w:sz w:val="20"/>
          <w:lang w:val="pl-PL"/>
        </w:rPr>
        <w:t xml:space="preserve"> </w:t>
      </w:r>
      <w:r w:rsidRPr="00CE0814">
        <w:rPr>
          <w:rFonts w:ascii="Verdana" w:hAnsi="Verdana" w:cs="Arial"/>
          <w:sz w:val="20"/>
          <w:lang w:val="pl-PL"/>
        </w:rPr>
        <w:t>Zapowiedź przewidywanej zmiany w portfelu indeksu związanej z niniejszą operacją może zostać podana do publicznej wiadomości na 1 dzień przed dniem ostatniego notowania akcji danej spółki z prawem poboru. Informacje o przeprowadzeniu niniejszej operacji podawane są do publicznej wiadomości po zakończeniu sesji, podczas której akcje tej spółki były po raz ostatni notowane z prawem poboru.</w:t>
      </w:r>
    </w:p>
    <w:p w:rsidR="0000039E" w:rsidRPr="00CE0814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Na listę uczestników indeksu nie mogą być wpisane spółki z siedzibą poza terytorium Rzeczypospolitej Polskiej, notowane jednocześnie na Giełdzie i innych rynkach o wartości rynkowej w dniu rankingu powyżej 100 mln euro.</w:t>
      </w: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20</w:t>
      </w:r>
    </w:p>
    <w:p w:rsidR="0000039E" w:rsidRPr="00CE0814" w:rsidRDefault="0000039E" w:rsidP="00A04312">
      <w:pPr>
        <w:pStyle w:val="Tekstpodstawowy1"/>
        <w:numPr>
          <w:ilvl w:val="0"/>
          <w:numId w:val="3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Rewizja roczna indeksu przeprowadzana jest po sesji trzeciego piątku marca </w:t>
      </w:r>
      <w:r w:rsidR="00BA2EE8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na podstawie rankingu sporządzonego </w:t>
      </w:r>
      <w:r w:rsidR="005B6664" w:rsidRPr="00CE0814">
        <w:rPr>
          <w:rFonts w:ascii="Verdana" w:hAnsi="Verdana" w:cs="Arial"/>
          <w:sz w:val="20"/>
          <w:lang w:val="pl-PL"/>
        </w:rPr>
        <w:t xml:space="preserve">na </w:t>
      </w:r>
      <w:r w:rsidR="000E1575" w:rsidRPr="00CE0814">
        <w:rPr>
          <w:rFonts w:ascii="Verdana" w:hAnsi="Verdana" w:cs="Arial"/>
          <w:sz w:val="20"/>
          <w:lang w:val="pl-PL"/>
        </w:rPr>
        <w:t>4 tygodnie przed dniem rewizji</w:t>
      </w:r>
      <w:r w:rsidRPr="00CE0814">
        <w:rPr>
          <w:rFonts w:ascii="Verdana" w:hAnsi="Verdana" w:cs="Arial"/>
          <w:sz w:val="20"/>
          <w:lang w:val="pl-PL"/>
        </w:rPr>
        <w:t>, a jej celem jest wyznaczenie nowych pakietów akcji wszystkich uczestników indeksu.</w:t>
      </w:r>
    </w:p>
    <w:p w:rsidR="0000039E" w:rsidRPr="00CE0814" w:rsidRDefault="0000039E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 indeksu po rewizji rocznej zostają spółki, które zajęły co najmniej</w:t>
      </w:r>
      <w:r w:rsidR="003A3817" w:rsidRPr="00CE0814">
        <w:rPr>
          <w:rFonts w:ascii="Verdana" w:hAnsi="Verdana" w:cs="Arial"/>
          <w:sz w:val="20"/>
          <w:lang w:val="pl-PL"/>
        </w:rPr>
        <w:t xml:space="preserve"> 120</w:t>
      </w:r>
      <w:r w:rsidRPr="00CE0814">
        <w:rPr>
          <w:rFonts w:ascii="Verdana" w:hAnsi="Verdana" w:cs="Arial"/>
          <w:sz w:val="20"/>
          <w:lang w:val="pl-PL"/>
        </w:rPr>
        <w:t xml:space="preserve"> pozycję w rankingu, zaś opuszczają go spółki, które zajęły pozycję niższą niż 145.</w:t>
      </w:r>
    </w:p>
    <w:p w:rsidR="0000039E" w:rsidRPr="00CE0814" w:rsidRDefault="006479E8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</w:t>
      </w:r>
      <w:r w:rsidR="0000039E" w:rsidRPr="00CE0814">
        <w:rPr>
          <w:rFonts w:ascii="Verdana" w:hAnsi="Verdana" w:cs="Arial"/>
          <w:sz w:val="20"/>
          <w:lang w:val="pl-PL"/>
        </w:rPr>
        <w:t xml:space="preserve"> indeksu po rewizji rocznej pozostają również spółki, które zajęły najwyższą pozycję pomiędzy </w:t>
      </w:r>
      <w:smartTag w:uri="urn:schemas-microsoft-com:office:smarttags" w:element="metricconverter">
        <w:smartTagPr>
          <w:attr w:name="ProductID" w:val="121 a"/>
        </w:smartTagPr>
        <w:r w:rsidR="0000039E" w:rsidRPr="00CE0814">
          <w:rPr>
            <w:rFonts w:ascii="Verdana" w:hAnsi="Verdana" w:cs="Arial"/>
            <w:sz w:val="20"/>
            <w:lang w:val="pl-PL"/>
          </w:rPr>
          <w:t>121 a</w:t>
        </w:r>
      </w:smartTag>
      <w:r w:rsidR="0000039E" w:rsidRPr="00CE0814">
        <w:rPr>
          <w:rFonts w:ascii="Verdana" w:hAnsi="Verdana" w:cs="Arial"/>
          <w:sz w:val="20"/>
          <w:lang w:val="pl-PL"/>
        </w:rPr>
        <w:t xml:space="preserve"> 145, jeżeli na liście uczestników zwolniło się miejsce i liczba uczestników spadła poniżej 80.</w:t>
      </w:r>
    </w:p>
    <w:p w:rsidR="0000039E" w:rsidRPr="00CE0814" w:rsidRDefault="0000039E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00039E" w:rsidRPr="00CE0814" w:rsidRDefault="0000039E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21</w:t>
      </w:r>
    </w:p>
    <w:p w:rsidR="0000039E" w:rsidRPr="00CE0814" w:rsidRDefault="0000039E" w:rsidP="00A04312">
      <w:pPr>
        <w:pStyle w:val="Tekstpodstawowy1"/>
        <w:numPr>
          <w:ilvl w:val="0"/>
          <w:numId w:val="3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kwartalna jest przeprowadzana po sesji trzeciego pią</w:t>
      </w:r>
      <w:r w:rsidR="000F3C11" w:rsidRPr="00CE0814">
        <w:rPr>
          <w:rFonts w:ascii="Verdana" w:hAnsi="Verdana" w:cs="Arial"/>
          <w:sz w:val="20"/>
          <w:lang w:val="pl-PL"/>
        </w:rPr>
        <w:t>tku czerwca, września i grudnia</w:t>
      </w:r>
      <w:r w:rsidR="000B1C02" w:rsidRPr="00CE0814">
        <w:rPr>
          <w:rFonts w:ascii="Verdana" w:hAnsi="Verdana" w:cs="Arial"/>
          <w:sz w:val="20"/>
          <w:lang w:val="pl-PL"/>
        </w:rPr>
        <w:t>,</w:t>
      </w:r>
      <w:r w:rsidRPr="00CE0814">
        <w:rPr>
          <w:rFonts w:ascii="Verdana" w:hAnsi="Verdana" w:cs="Arial"/>
          <w:sz w:val="20"/>
          <w:lang w:val="pl-PL"/>
        </w:rPr>
        <w:t xml:space="preserve"> na p</w:t>
      </w:r>
      <w:r w:rsidR="005B6664" w:rsidRPr="00CE0814">
        <w:rPr>
          <w:rFonts w:ascii="Verdana" w:hAnsi="Verdana" w:cs="Arial"/>
          <w:sz w:val="20"/>
          <w:lang w:val="pl-PL"/>
        </w:rPr>
        <w:t xml:space="preserve">odstawie rankingu sporządzonego na </w:t>
      </w:r>
      <w:r w:rsidR="000E1575" w:rsidRPr="00CE0814">
        <w:rPr>
          <w:rFonts w:ascii="Verdana" w:hAnsi="Verdana" w:cs="Arial"/>
          <w:sz w:val="20"/>
          <w:lang w:val="pl-PL"/>
        </w:rPr>
        <w:t>4 tygodnie przed dniem korekty</w:t>
      </w:r>
      <w:r w:rsidRPr="00CE0814">
        <w:rPr>
          <w:rFonts w:ascii="Verdana" w:hAnsi="Verdana" w:cs="Arial"/>
          <w:sz w:val="20"/>
          <w:lang w:val="pl-PL"/>
        </w:rPr>
        <w:t>,</w:t>
      </w:r>
      <w:r w:rsidR="00ED5FB3" w:rsidRPr="00CE0814">
        <w:rPr>
          <w:rFonts w:ascii="Verdana" w:hAnsi="Verdana" w:cs="Arial"/>
          <w:sz w:val="20"/>
          <w:lang w:val="pl-PL"/>
        </w:rPr>
        <w:t xml:space="preserve"> </w:t>
      </w:r>
      <w:r w:rsidRPr="00CE0814">
        <w:rPr>
          <w:rFonts w:ascii="Verdana" w:hAnsi="Verdana" w:cs="Arial"/>
          <w:sz w:val="20"/>
          <w:lang w:val="pl-PL"/>
        </w:rPr>
        <w:t>a jej celem jest przeprowadzenie niezbędnych zmian składu uczestników.</w:t>
      </w:r>
    </w:p>
    <w:p w:rsidR="0000039E" w:rsidRPr="00CE0814" w:rsidRDefault="0000039E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 indeksu po korekcie kwartalnej zostają spółki, które za</w:t>
      </w:r>
      <w:r w:rsidR="006479E8" w:rsidRPr="00CE0814">
        <w:rPr>
          <w:rFonts w:ascii="Verdana" w:hAnsi="Verdana" w:cs="Arial"/>
          <w:sz w:val="20"/>
          <w:lang w:val="pl-PL"/>
        </w:rPr>
        <w:t>jęły co najmniej 110 pozycję w r</w:t>
      </w:r>
      <w:r w:rsidRPr="00CE0814">
        <w:rPr>
          <w:rFonts w:ascii="Verdana" w:hAnsi="Verdana" w:cs="Arial"/>
          <w:sz w:val="20"/>
          <w:lang w:val="pl-PL"/>
        </w:rPr>
        <w:t>ankingu, zaś opuszczają go spółki, które zajęły pozycję niższą niż 155.</w:t>
      </w:r>
    </w:p>
    <w:p w:rsidR="0000039E" w:rsidRPr="00CE0814" w:rsidRDefault="006479E8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</w:t>
      </w:r>
      <w:r w:rsidR="0000039E" w:rsidRPr="00CE0814">
        <w:rPr>
          <w:rFonts w:ascii="Verdana" w:hAnsi="Verdana" w:cs="Arial"/>
          <w:sz w:val="20"/>
          <w:lang w:val="pl-PL"/>
        </w:rPr>
        <w:t xml:space="preserve"> indeksu po korekcie kwartalnej pozostają również spółki, które zajęły najwyższą pozycję pomiędzy </w:t>
      </w:r>
      <w:smartTag w:uri="urn:schemas-microsoft-com:office:smarttags" w:element="metricconverter">
        <w:smartTagPr>
          <w:attr w:name="ProductID" w:val="111 a"/>
        </w:smartTagPr>
        <w:r w:rsidR="0000039E" w:rsidRPr="00CE0814">
          <w:rPr>
            <w:rFonts w:ascii="Verdana" w:hAnsi="Verdana" w:cs="Arial"/>
            <w:sz w:val="20"/>
            <w:lang w:val="pl-PL"/>
          </w:rPr>
          <w:t>111 a</w:t>
        </w:r>
      </w:smartTag>
      <w:r w:rsidR="0000039E" w:rsidRPr="00CE0814">
        <w:rPr>
          <w:rFonts w:ascii="Verdana" w:hAnsi="Verdana" w:cs="Arial"/>
          <w:sz w:val="20"/>
          <w:lang w:val="pl-PL"/>
        </w:rPr>
        <w:t xml:space="preserve"> 155, jeżeli na liście uczestników zwolniło się miejsce i liczba uczestników spadła poniżej 80.</w:t>
      </w:r>
    </w:p>
    <w:p w:rsidR="0000039E" w:rsidRPr="00CE0814" w:rsidRDefault="0000039E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00039E" w:rsidRPr="00CE0814" w:rsidRDefault="0000039E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FE7597" w:rsidRPr="00CE0814" w:rsidRDefault="00FE7597" w:rsidP="00FE759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21a </w:t>
      </w:r>
    </w:p>
    <w:p w:rsidR="00FE7597" w:rsidRPr="00CE0814" w:rsidRDefault="00FE7597" w:rsidP="005D2259">
      <w:pPr>
        <w:pStyle w:val="Tekstpodstawowy"/>
        <w:numPr>
          <w:ilvl w:val="0"/>
          <w:numId w:val="59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przypadku zawieszenia obrotu akcjami danej spółki na żądanie Komisji Nadzoru Finansowego może zostać przeprowadzona nadzwyczajna korekta uczestników indeksu.</w:t>
      </w:r>
    </w:p>
    <w:p w:rsidR="00FE7597" w:rsidRPr="00CE0814" w:rsidRDefault="00FE7597" w:rsidP="005D2259">
      <w:pPr>
        <w:pStyle w:val="Tekstpodstawowy1"/>
        <w:numPr>
          <w:ilvl w:val="0"/>
          <w:numId w:val="5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zawieszenia obrotu, o którym mowa w ust. 1,  dana spółka może zostać niez</w:t>
      </w:r>
      <w:r w:rsidR="00464231" w:rsidRPr="00CE0814">
        <w:rPr>
          <w:rFonts w:ascii="Verdana" w:hAnsi="Verdana" w:cs="Arial"/>
          <w:sz w:val="20"/>
          <w:lang w:val="pl-PL"/>
        </w:rPr>
        <w:t>w</w:t>
      </w:r>
      <w:r w:rsidRPr="00CE0814">
        <w:rPr>
          <w:rFonts w:ascii="Verdana" w:hAnsi="Verdana" w:cs="Arial"/>
          <w:sz w:val="20"/>
          <w:lang w:val="pl-PL"/>
        </w:rPr>
        <w:t>łocznie skreślona z listy uczestników indeksu, bez jej zastępowania inną spółką, z zastrzeżeniem ust. 3 i 4.</w:t>
      </w:r>
    </w:p>
    <w:p w:rsidR="00FE7597" w:rsidRPr="00CE0814" w:rsidRDefault="00FE7597" w:rsidP="005D2259">
      <w:pPr>
        <w:pStyle w:val="Tekstpodstawowy1"/>
        <w:numPr>
          <w:ilvl w:val="0"/>
          <w:numId w:val="5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Jeżeli przed upływem 10 dni sesyjnych zawieszenia obrotu, o którym mowa </w:t>
      </w:r>
      <w:r w:rsidR="00832C5D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w ust. 1</w:t>
      </w:r>
      <w:r w:rsidR="00ED3594" w:rsidRPr="00CE0814">
        <w:rPr>
          <w:rFonts w:ascii="Verdana" w:hAnsi="Verdana" w:cs="Arial"/>
          <w:sz w:val="20"/>
          <w:lang w:val="pl-PL"/>
        </w:rPr>
        <w:t>, nastą</w:t>
      </w:r>
      <w:r w:rsidRPr="00CE0814">
        <w:rPr>
          <w:rFonts w:ascii="Verdana" w:hAnsi="Verdana" w:cs="Arial"/>
          <w:sz w:val="20"/>
          <w:lang w:val="pl-PL"/>
        </w:rPr>
        <w:t>pi wznowienie obrotu akcjami spółki skreślonej z listy uczestników indeksu spółka ta podlega niezwłocznie ponownemu wpisaniu na tę listę.</w:t>
      </w:r>
    </w:p>
    <w:p w:rsidR="00FE7597" w:rsidRPr="00CE0814" w:rsidRDefault="006F17A6" w:rsidP="0068637E">
      <w:pPr>
        <w:pStyle w:val="Tekstpodstawowy1"/>
        <w:numPr>
          <w:ilvl w:val="0"/>
          <w:numId w:val="5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Po upływie 10 dni sesyjnych zawieszenia</w:t>
      </w:r>
      <w:r w:rsidR="00FE7597" w:rsidRPr="00CE0814">
        <w:rPr>
          <w:rFonts w:ascii="Verdana" w:hAnsi="Verdana" w:cs="Arial"/>
          <w:sz w:val="20"/>
          <w:lang w:val="pl-PL"/>
        </w:rPr>
        <w:t xml:space="preserve"> obrotu, o którym mowa w ust. 1, miejsce spółki skreślonej z listy uczestników indeksu zajmuje niezwłocznie spółka z listy rezer</w:t>
      </w:r>
      <w:r w:rsidRPr="00CE0814">
        <w:rPr>
          <w:rFonts w:ascii="Verdana" w:hAnsi="Verdana" w:cs="Arial"/>
          <w:sz w:val="20"/>
          <w:lang w:val="pl-PL"/>
        </w:rPr>
        <w:t>w</w:t>
      </w:r>
      <w:r w:rsidR="00FE7597" w:rsidRPr="00CE0814">
        <w:rPr>
          <w:rFonts w:ascii="Verdana" w:hAnsi="Verdana" w:cs="Arial"/>
          <w:sz w:val="20"/>
          <w:lang w:val="pl-PL"/>
        </w:rPr>
        <w:t>owej</w:t>
      </w:r>
      <w:r w:rsidR="003B4A63" w:rsidRPr="00CE0814">
        <w:rPr>
          <w:rFonts w:ascii="Verdana" w:hAnsi="Verdana" w:cs="Arial"/>
          <w:sz w:val="20"/>
          <w:lang w:val="pl-PL"/>
        </w:rPr>
        <w:t xml:space="preserve"> uczestników indeksu</w:t>
      </w:r>
      <w:r w:rsidR="00FE7597" w:rsidRPr="00CE0814">
        <w:rPr>
          <w:rFonts w:ascii="Verdana" w:hAnsi="Verdana" w:cs="Arial"/>
          <w:sz w:val="20"/>
          <w:lang w:val="pl-PL"/>
        </w:rPr>
        <w:t>.</w:t>
      </w:r>
    </w:p>
    <w:p w:rsidR="0000039E" w:rsidRPr="00CE0814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22 </w:t>
      </w:r>
    </w:p>
    <w:p w:rsidR="0000039E" w:rsidRPr="00CE0814" w:rsidRDefault="0000039E" w:rsidP="00A04312">
      <w:pPr>
        <w:pStyle w:val="Tekstpodstawowy"/>
        <w:numPr>
          <w:ilvl w:val="0"/>
          <w:numId w:val="4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00039E" w:rsidRPr="00CE0814" w:rsidRDefault="0000039E" w:rsidP="00A04312">
      <w:pPr>
        <w:pStyle w:val="Tekstpodstawowy1"/>
        <w:numPr>
          <w:ilvl w:val="0"/>
          <w:numId w:val="4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przypadku dokonania korekty nadzwyczajnej miejsce spółki skreślonej z listy uczestników indeksu zajmuje spółka, która znalazła się w </w:t>
      </w:r>
      <w:r w:rsidR="00BE6F94" w:rsidRPr="00CE0814">
        <w:rPr>
          <w:rFonts w:ascii="Verdana" w:hAnsi="Verdana" w:cs="Arial"/>
          <w:sz w:val="20"/>
          <w:lang w:val="pl-PL"/>
        </w:rPr>
        <w:t xml:space="preserve">ostatnim </w:t>
      </w:r>
      <w:r w:rsidRPr="00CE0814">
        <w:rPr>
          <w:rFonts w:ascii="Verdana" w:hAnsi="Verdana" w:cs="Arial"/>
          <w:sz w:val="20"/>
          <w:lang w:val="pl-PL"/>
        </w:rPr>
        <w:t>rankingu indeksu na najwyższej pozycji, ale nie została do tego indeksu zakwalifikowana.</w:t>
      </w:r>
    </w:p>
    <w:p w:rsidR="00531CF7" w:rsidRPr="00CE0814" w:rsidRDefault="00531CF7" w:rsidP="00531CF7">
      <w:pPr>
        <w:rPr>
          <w:rFonts w:ascii="Verdana" w:hAnsi="Verdana" w:cs="Arial"/>
          <w:sz w:val="20"/>
        </w:rPr>
      </w:pP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4a</w:t>
      </w: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Małych Spółek sWIG80TR</w:t>
      </w: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9000"/>
        </w:tabs>
        <w:spacing w:line="360" w:lineRule="auto"/>
        <w:ind w:right="-1"/>
        <w:jc w:val="both"/>
        <w:rPr>
          <w:rFonts w:ascii="Verdana" w:hAnsi="Verdana" w:cs="Arial"/>
          <w:sz w:val="20"/>
          <w:lang w:val="pl-PL"/>
        </w:rPr>
      </w:pP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22a</w:t>
      </w:r>
    </w:p>
    <w:p w:rsidR="00291D86" w:rsidRPr="00CE0814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skład portfela indeksu wchodzą pakiety akcji spółek wchodzących w skład indeksu sWIG80. </w:t>
      </w:r>
    </w:p>
    <w:p w:rsidR="00291D86" w:rsidRPr="00CE0814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31 grudnia 2009 r.</w:t>
      </w:r>
    </w:p>
    <w:p w:rsidR="00291D86" w:rsidRPr="00CE0814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11090,93 punktów.</w:t>
      </w:r>
    </w:p>
    <w:p w:rsidR="00291D86" w:rsidRPr="00CE0814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Pr="00CE0814">
        <w:rPr>
          <w:rFonts w:ascii="Verdana" w:hAnsi="Verdana" w:cs="Arial"/>
          <w:sz w:val="20"/>
          <w:lang w:val="pl-PL"/>
        </w:rPr>
        <w:br/>
        <w:t>z tytułu dywidend oraz praw poboru (indeks dochodowy). W tym celu stosuje się współczynnik korygujący obliczany na podstawie następującego wzoru: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     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M(t’)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oraz :</w:t>
      </w:r>
      <w:r w:rsidRPr="00CE0814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</w:t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          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 =   ————————  * N(i)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S(i) + 1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D(t) -</w:t>
      </w:r>
      <w:r w:rsidRPr="00CE0814">
        <w:rPr>
          <w:rFonts w:ascii="Verdana" w:hAnsi="Verdana" w:cs="Arial"/>
          <w:sz w:val="20"/>
          <w:lang w:val="pl-PL"/>
        </w:rPr>
        <w:tab/>
        <w:t>wartość dywidendy z akcji lub wartość teoretyczna dywidendy z akcji (obliczana przez Giełdę zgodnie ze Szczegółowymi Zasadami Obrotu Giełdowego w systemie UTP), które na sesji „t+1” po raz pierwszy będą notowane „bez dywidendy”; w przypadku ustalenia dywidendy w walucie obcej, kwota dywidendy zostaje przeliczona na złote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V(t) -</w:t>
      </w:r>
      <w:r w:rsidRPr="00CE0814">
        <w:rPr>
          <w:rFonts w:ascii="Verdana" w:hAnsi="Verdana" w:cs="Arial"/>
          <w:sz w:val="20"/>
          <w:lang w:val="pl-PL"/>
        </w:rPr>
        <w:tab/>
        <w:t>wartość teoretyczna praw poboru z akcji, które na sesji „t+1” po raz pierwszy będą notowane „bez prawa poboru”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>wartość teoretyczna praw poboru z akcji „i”, które na sesji „t+1” po raz pierwszy będą notowane „bez prawa poboru”; wartości teoretycznej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jest wyższa od kursu akcji 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Q(t) -</w:t>
      </w:r>
      <w:r w:rsidRPr="00CE0814">
        <w:rPr>
          <w:rFonts w:ascii="Verdana" w:hAnsi="Verdana" w:cs="Arial"/>
          <w:sz w:val="20"/>
          <w:lang w:val="pl-PL"/>
        </w:rPr>
        <w:tab/>
        <w:t>wartość rynkowa akcji wprowadzanych (+), bądź wyłączanych (-) z portfela indeksu po sesji „t”; dotyczy to zarówno zwiększania pakietów akcji spółek wcześniej uczestniczących w indeksie, jak również akcji spółek jeszcze nie uczestniczących w indeksie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 xml:space="preserve">kurs akcji „i” na sesji „t” 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>cena akcji nowej emisji z prawem poboru spółki „i”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S(i) -</w:t>
      </w:r>
      <w:r w:rsidRPr="00CE0814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291D86" w:rsidRPr="00CE0814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N(i) -</w:t>
      </w:r>
      <w:r w:rsidRPr="00CE0814">
        <w:rPr>
          <w:rFonts w:ascii="Verdana" w:hAnsi="Verdana" w:cs="Arial"/>
          <w:sz w:val="20"/>
          <w:lang w:val="pl-PL"/>
        </w:rPr>
        <w:tab/>
        <w:t>liczba akcji spółki „i” w portfelu indeksu.</w:t>
      </w:r>
    </w:p>
    <w:p w:rsidR="00291D86" w:rsidRPr="00CE0814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Rewizja roczna, korekta kwartalna i korekta nadzwyczajna uczestników indeksu przeprowadzane są zgodnie z zasadami przewidzianymi dla indeksu sWIG80.</w:t>
      </w: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291D86" w:rsidRPr="00CE0814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531CF7" w:rsidRPr="00CE0814" w:rsidRDefault="00531CF7" w:rsidP="00531CF7">
      <w:pPr>
        <w:spacing w:line="360" w:lineRule="auto"/>
        <w:jc w:val="center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Oddział 5</w:t>
      </w:r>
    </w:p>
    <w:p w:rsidR="00531CF7" w:rsidRPr="00CE0814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 WIG30</w:t>
      </w:r>
    </w:p>
    <w:p w:rsidR="00531CF7" w:rsidRPr="00CE0814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531CF7" w:rsidRPr="00CE0814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</w:t>
      </w:r>
      <w:r w:rsidR="009A73AE" w:rsidRPr="00CE0814">
        <w:rPr>
          <w:rFonts w:ascii="Verdana" w:hAnsi="Verdana" w:cs="Arial"/>
          <w:sz w:val="20"/>
          <w:lang w:val="pl-PL"/>
        </w:rPr>
        <w:t>b</w:t>
      </w:r>
    </w:p>
    <w:p w:rsidR="00531CF7" w:rsidRPr="00CE0814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skład portfela indeksu wchodzą pakiety akcji 30 spółek. W szczególnie uzasadnionych przypadkach dopuszcza się sytuację, że w indeksie uczestniczy w</w:t>
      </w:r>
      <w:r w:rsidR="00A726B8" w:rsidRPr="00CE0814">
        <w:rPr>
          <w:rFonts w:ascii="Verdana" w:hAnsi="Verdana" w:cs="Arial"/>
          <w:sz w:val="20"/>
          <w:lang w:val="pl-PL"/>
        </w:rPr>
        <w:t xml:space="preserve">ięcej lub mniej niż 30 spółek. </w:t>
      </w:r>
    </w:p>
    <w:p w:rsidR="00531CF7" w:rsidRPr="00CE0814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31 grudnia 2012 r.</w:t>
      </w:r>
    </w:p>
    <w:p w:rsidR="00531CF7" w:rsidRPr="00CE0814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Wartość indeksu w dniu bazowym wynosi </w:t>
      </w:r>
      <w:r w:rsidRPr="00CE0814">
        <w:rPr>
          <w:rFonts w:ascii="Verdana" w:hAnsi="Verdana"/>
          <w:sz w:val="20"/>
          <w:lang w:val="pl-PL"/>
        </w:rPr>
        <w:t xml:space="preserve">2582,98 </w:t>
      </w:r>
      <w:r w:rsidRPr="00CE0814">
        <w:rPr>
          <w:rFonts w:ascii="Verdana" w:hAnsi="Verdana" w:cs="Arial"/>
          <w:sz w:val="20"/>
          <w:lang w:val="pl-PL"/>
        </w:rPr>
        <w:t>punktów.</w:t>
      </w:r>
    </w:p>
    <w:p w:rsidR="00531CF7" w:rsidRPr="00CE0814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Liczba uczestników indeksu zakwalifikowanych do jednego sektora, według stosowanej klasyfikacji sektorowej, nie może być większa niż 7.</w:t>
      </w:r>
    </w:p>
    <w:p w:rsidR="00531CF7" w:rsidRPr="00CE0814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531CF7" w:rsidRPr="00CE0814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przypadku notowania akcji spółki po raz pierwszy „bez prawa poboru” </w:t>
      </w:r>
      <w:r w:rsidR="00F3648A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z kursem odniesienia, niższym niż ostatni kurs zamknięcia, pakiet akcji tej spółki nie jest uwzględniany na pierwszej sesji „bez prawa poboru” w portfelu indeksu. Zapowiedź przewidywanej zmiany w portfelu indeksu związanej z niniejszą operacją może zostać podana do publicznej wiadomości na 1 dzień przed dniem ostatniego notowania akcji danej spółki z prawem poboru. Informacje </w:t>
      </w:r>
      <w:r w:rsidR="00F3648A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o przeprowadzeniu niniejszej operacji podawane są do publicznej wiadomości po zakończeniu sesji, podczas której akcje tej spółki były po raz ostatni notowane z prawem poboru. </w:t>
      </w:r>
    </w:p>
    <w:p w:rsidR="00531CF7" w:rsidRPr="00CE0814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</w:t>
      </w:r>
      <w:r w:rsidR="009A73AE" w:rsidRPr="00CE0814">
        <w:rPr>
          <w:rFonts w:ascii="Verdana" w:hAnsi="Verdana" w:cs="Arial"/>
          <w:sz w:val="20"/>
          <w:lang w:val="pl-PL"/>
        </w:rPr>
        <w:t>c</w:t>
      </w:r>
      <w:r w:rsidR="00531CF7" w:rsidRPr="00CE0814">
        <w:rPr>
          <w:rFonts w:ascii="Verdana" w:hAnsi="Verdana" w:cs="Arial"/>
          <w:sz w:val="20"/>
          <w:lang w:val="pl-PL"/>
        </w:rPr>
        <w:t xml:space="preserve"> </w:t>
      </w:r>
    </w:p>
    <w:p w:rsidR="00531CF7" w:rsidRPr="00CE0814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Rewizja roczna indeksu przeprowadzana jest po sesji trzeciego piątku marca na podstawie rankingu sporządzonego </w:t>
      </w:r>
      <w:r w:rsidR="00AF6103" w:rsidRPr="00CE0814">
        <w:rPr>
          <w:rFonts w:ascii="Verdana" w:hAnsi="Verdana" w:cs="Arial"/>
          <w:sz w:val="20"/>
          <w:lang w:val="pl-PL"/>
        </w:rPr>
        <w:t>na 4 tygodnie przed dniem rewizji</w:t>
      </w:r>
      <w:r w:rsidRPr="00CE0814">
        <w:rPr>
          <w:rFonts w:ascii="Verdana" w:hAnsi="Verdana" w:cs="Arial"/>
          <w:sz w:val="20"/>
          <w:lang w:val="pl-PL"/>
        </w:rPr>
        <w:t xml:space="preserve">, a jej celem jest dokonanie niezbędnych zmian listy uczestników indeksu oraz wyznaczenie nowych pakietów akcji wszystkich uczestników indeksu.  </w:t>
      </w:r>
    </w:p>
    <w:p w:rsidR="00531CF7" w:rsidRPr="00CE0814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Uczestnikami indeksu po rewizji rocznej zostają spółki, które zajęły co najmniej </w:t>
      </w:r>
      <w:r w:rsidRPr="00CE0814">
        <w:rPr>
          <w:rFonts w:ascii="Verdana" w:hAnsi="Verdana" w:cs="Arial"/>
          <w:sz w:val="20"/>
          <w:lang w:val="pl-PL"/>
        </w:rPr>
        <w:br/>
        <w:t>20 pozycję w rankingu, zaś opuszczają go spółki, które zajęły pozycję niższą niż 40.</w:t>
      </w:r>
    </w:p>
    <w:p w:rsidR="00531CF7" w:rsidRPr="00CE0814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 indeksu po rewizji rocznej pozostają również spółki, które zajęły najwyższą pozycję pomiędzy 21 a 40, jeżeli na liście uczestników zwolniło się miejsce i liczba uczestników spadła poniżej 30.</w:t>
      </w:r>
    </w:p>
    <w:p w:rsidR="00531CF7" w:rsidRPr="00CE0814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sytuacji, gdy z zasad zmiany listy uczestników indeksu wynika, że nie będzie sp</w:t>
      </w:r>
      <w:r w:rsidR="00F3648A" w:rsidRPr="00CE0814">
        <w:rPr>
          <w:rFonts w:ascii="Verdana" w:hAnsi="Verdana" w:cs="Arial"/>
          <w:sz w:val="20"/>
          <w:lang w:val="pl-PL"/>
        </w:rPr>
        <w:t>ełniony warunek określony w § 22</w:t>
      </w:r>
      <w:r w:rsidR="00AB6A01" w:rsidRPr="00CE0814">
        <w:rPr>
          <w:rFonts w:ascii="Verdana" w:hAnsi="Verdana" w:cs="Arial"/>
          <w:sz w:val="20"/>
          <w:lang w:val="pl-PL"/>
        </w:rPr>
        <w:t>b</w:t>
      </w:r>
      <w:r w:rsidRPr="00CE0814">
        <w:rPr>
          <w:rFonts w:ascii="Verdana" w:hAnsi="Verdana" w:cs="Arial"/>
          <w:sz w:val="20"/>
          <w:lang w:val="pl-PL"/>
        </w:rPr>
        <w:t xml:space="preserve"> ust. 4, to skreślenie spółki z listy uczestników indeksu może nastąpić tylko wówczas, gdy spółka wpisywana na listę uczestników zajmuje pozycję w rankingu co najmniej o 5 pozycji wyższą od spółki skreślanej.</w:t>
      </w:r>
    </w:p>
    <w:p w:rsidR="00531CF7" w:rsidRPr="00CE0814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531CF7" w:rsidRPr="00CE0814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0C7D1A" w:rsidRPr="00CE0814" w:rsidRDefault="000C7D1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531CF7" w:rsidRPr="00CE0814" w:rsidRDefault="009A73AE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22d</w:t>
      </w:r>
      <w:r w:rsidR="00531CF7" w:rsidRPr="00CE0814">
        <w:rPr>
          <w:rFonts w:ascii="Verdana" w:hAnsi="Verdana" w:cs="Arial"/>
          <w:sz w:val="20"/>
          <w:lang w:val="pl-PL"/>
        </w:rPr>
        <w:t xml:space="preserve"> </w:t>
      </w:r>
    </w:p>
    <w:p w:rsidR="00531CF7" w:rsidRPr="00CE0814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Korekta kwartalna jest przeprowadzana po sesji trzeciego pią</w:t>
      </w:r>
      <w:r w:rsidR="00962698" w:rsidRPr="00CE0814">
        <w:rPr>
          <w:rFonts w:ascii="Verdana" w:hAnsi="Verdana" w:cs="Arial"/>
          <w:sz w:val="20"/>
          <w:lang w:val="pl-PL"/>
        </w:rPr>
        <w:t>tku czerwca, września i grudnia</w:t>
      </w:r>
      <w:r w:rsidR="000B1C02" w:rsidRPr="00CE0814">
        <w:rPr>
          <w:rFonts w:ascii="Verdana" w:hAnsi="Verdana" w:cs="Arial"/>
          <w:sz w:val="20"/>
          <w:lang w:val="pl-PL"/>
        </w:rPr>
        <w:t>,</w:t>
      </w:r>
      <w:r w:rsidRPr="00CE0814">
        <w:rPr>
          <w:rFonts w:ascii="Verdana" w:hAnsi="Verdana" w:cs="Arial"/>
          <w:sz w:val="20"/>
          <w:lang w:val="pl-PL"/>
        </w:rPr>
        <w:t xml:space="preserve"> na podstawie rankingu sporządzonego </w:t>
      </w:r>
      <w:r w:rsidR="00AF6103" w:rsidRPr="00CE0814">
        <w:rPr>
          <w:rFonts w:ascii="Verdana" w:hAnsi="Verdana" w:cs="Arial"/>
          <w:sz w:val="20"/>
          <w:lang w:val="pl-PL"/>
        </w:rPr>
        <w:t>na 4 tygodnie przed dniem korekty</w:t>
      </w:r>
      <w:r w:rsidRPr="00CE0814">
        <w:rPr>
          <w:rFonts w:ascii="Verdana" w:hAnsi="Verdana" w:cs="Arial"/>
          <w:sz w:val="20"/>
          <w:lang w:val="pl-PL"/>
        </w:rPr>
        <w:t>, a jej celem jest przeprowadzenie niezbędnych zmian listy uczestników indeksu.</w:t>
      </w:r>
    </w:p>
    <w:p w:rsidR="00531CF7" w:rsidRPr="00CE0814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 indeksu po korekcie kwartalnej zostają spółki, które zajęły co najmniej 15 pozycję w rankingu, zaś opuszczają go spółki, które zajęły pozycję niższą niż 45.</w:t>
      </w:r>
    </w:p>
    <w:p w:rsidR="00531CF7" w:rsidRPr="00CE0814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Uczestnikami indeksu po korekcie kwartalnej pozostają również spółki, które zajęły najwyższą pozycję pomiędzy 16 a 45, jeżeli na liście uczestników zwolniło się miejsce i liczba uczestników spadła poniżej 30.</w:t>
      </w:r>
    </w:p>
    <w:p w:rsidR="00531CF7" w:rsidRPr="00CE0814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sytuacji, gdy z zasad zmiany listy uczestników indeksu wynika, że nie będzie sp</w:t>
      </w:r>
      <w:r w:rsidR="00F3648A" w:rsidRPr="00CE0814">
        <w:rPr>
          <w:rFonts w:ascii="Verdana" w:hAnsi="Verdana" w:cs="Arial"/>
          <w:sz w:val="20"/>
          <w:lang w:val="pl-PL"/>
        </w:rPr>
        <w:t>ełniony warunek określony w § 22</w:t>
      </w:r>
      <w:r w:rsidR="00AB6A01" w:rsidRPr="00CE0814">
        <w:rPr>
          <w:rFonts w:ascii="Verdana" w:hAnsi="Verdana" w:cs="Arial"/>
          <w:sz w:val="20"/>
          <w:lang w:val="pl-PL"/>
        </w:rPr>
        <w:t>b</w:t>
      </w:r>
      <w:r w:rsidRPr="00CE0814">
        <w:rPr>
          <w:rFonts w:ascii="Verdana" w:hAnsi="Verdana" w:cs="Arial"/>
          <w:sz w:val="20"/>
          <w:lang w:val="pl-PL"/>
        </w:rPr>
        <w:t xml:space="preserve"> ust. 4, to skreślenie spółki z listy uczestników indeksu może nastąpić tylko wówczas, gdy spółka wpisywana na listę uczestników zajmuje pozycję w rankingu co najmniej o 5 pozycji wyższą od spółki skreślanej.</w:t>
      </w:r>
    </w:p>
    <w:p w:rsidR="00531CF7" w:rsidRPr="00CE0814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531CF7" w:rsidRPr="00CE0814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531CF7" w:rsidRPr="00CE0814" w:rsidRDefault="009A73AE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22e</w:t>
      </w:r>
    </w:p>
    <w:p w:rsidR="00F3648A" w:rsidRPr="00CE0814" w:rsidRDefault="00531CF7" w:rsidP="00A04312">
      <w:pPr>
        <w:pStyle w:val="Tekstpodstawowy1"/>
        <w:numPr>
          <w:ilvl w:val="0"/>
          <w:numId w:val="4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Nadzwyczajna korekta uczestników indeksu może zostać przeprowadzona w celu wpisania na listę uczestników indeksu nowo wprowadzanej do obrotu giełdowego spółki, o ile wartość jej akcji w wolnym obrocie w dniu pierwszego notowania stanowi co najmniej 5% wartości kapitalizacji portfela indeksu na sesji w tym dniu.</w:t>
      </w:r>
    </w:p>
    <w:p w:rsidR="00531CF7" w:rsidRPr="00CE0814" w:rsidRDefault="00531CF7" w:rsidP="00A04312">
      <w:pPr>
        <w:pStyle w:val="Tekstpodstawowy1"/>
        <w:numPr>
          <w:ilvl w:val="0"/>
          <w:numId w:val="4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przypadku dokonania korekty nadzwyczajnej w wyniku wprowadzenia do obrotu giełdowego nowej spółki, z listy uczestników indeksu skreśla się spółkę, która w </w:t>
      </w:r>
      <w:r w:rsidR="00AF6103" w:rsidRPr="00CE0814">
        <w:rPr>
          <w:rFonts w:ascii="Verdana" w:hAnsi="Verdana" w:cs="Arial"/>
          <w:sz w:val="20"/>
          <w:lang w:val="pl-PL"/>
        </w:rPr>
        <w:t xml:space="preserve">ostatnim </w:t>
      </w:r>
      <w:r w:rsidRPr="00CE0814">
        <w:rPr>
          <w:rFonts w:ascii="Verdana" w:hAnsi="Verdana" w:cs="Arial"/>
          <w:sz w:val="20"/>
          <w:lang w:val="pl-PL"/>
        </w:rPr>
        <w:t>rankingu indeksów jest na najniższej pozycji.</w:t>
      </w:r>
    </w:p>
    <w:p w:rsidR="00531CF7" w:rsidRPr="00CE0814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531CF7" w:rsidRPr="00CE0814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</w:t>
      </w:r>
      <w:r w:rsidR="009A73AE" w:rsidRPr="00CE0814">
        <w:rPr>
          <w:rFonts w:ascii="Verdana" w:hAnsi="Verdana" w:cs="Arial"/>
          <w:sz w:val="20"/>
          <w:lang w:val="pl-PL"/>
        </w:rPr>
        <w:t>f</w:t>
      </w:r>
    </w:p>
    <w:p w:rsidR="00531CF7" w:rsidRPr="00CE0814" w:rsidRDefault="00531CF7" w:rsidP="00A04312">
      <w:pPr>
        <w:pStyle w:val="Tekstpodstawowy"/>
        <w:numPr>
          <w:ilvl w:val="0"/>
          <w:numId w:val="49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531CF7" w:rsidRPr="00CE0814" w:rsidRDefault="00531CF7" w:rsidP="00A04312">
      <w:pPr>
        <w:pStyle w:val="Tekstpodstawowy1"/>
        <w:numPr>
          <w:ilvl w:val="0"/>
          <w:numId w:val="4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przypadku dokonania korekty nadzwyczajnej miejsce spółki skreślonej z listy uczestników indeksu zajmuje spółka, która znalazła się w </w:t>
      </w:r>
      <w:r w:rsidR="00AF6103" w:rsidRPr="00CE0814">
        <w:rPr>
          <w:rFonts w:ascii="Verdana" w:hAnsi="Verdana" w:cs="Arial"/>
          <w:sz w:val="20"/>
          <w:lang w:val="pl-PL"/>
        </w:rPr>
        <w:t xml:space="preserve">ostatnim </w:t>
      </w:r>
      <w:r w:rsidRPr="00CE0814">
        <w:rPr>
          <w:rFonts w:ascii="Verdana" w:hAnsi="Verdana" w:cs="Arial"/>
          <w:sz w:val="20"/>
          <w:lang w:val="pl-PL"/>
        </w:rPr>
        <w:t>rankingu indeksów na najwyższej pozycji, ale nie została do tego indeksu zakwalifikowana.</w:t>
      </w:r>
    </w:p>
    <w:p w:rsidR="00531CF7" w:rsidRPr="00CE0814" w:rsidRDefault="00531CF7" w:rsidP="00F3648A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i/>
          <w:sz w:val="20"/>
          <w:lang w:val="pl-PL"/>
        </w:rPr>
      </w:pPr>
    </w:p>
    <w:p w:rsidR="00531CF7" w:rsidRPr="00CE0814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5a</w:t>
      </w:r>
    </w:p>
    <w:p w:rsidR="00531CF7" w:rsidRPr="00CE0814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 WIG30TR</w:t>
      </w:r>
    </w:p>
    <w:p w:rsidR="00531CF7" w:rsidRPr="00CE0814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531CF7" w:rsidRPr="00CE0814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22</w:t>
      </w:r>
      <w:r w:rsidR="009A73AE" w:rsidRPr="00CE0814">
        <w:rPr>
          <w:rFonts w:ascii="Verdana" w:hAnsi="Verdana" w:cs="Arial"/>
          <w:sz w:val="20"/>
          <w:lang w:val="pl-PL"/>
        </w:rPr>
        <w:t>g</w:t>
      </w:r>
    </w:p>
    <w:p w:rsidR="00F3648A" w:rsidRPr="00CE0814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skład portfela indeksu wchodzą pakiety akcji spółek wchodzących w skład indeksu WIG30. </w:t>
      </w:r>
    </w:p>
    <w:p w:rsidR="00531CF7" w:rsidRPr="00CE0814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</w:t>
      </w:r>
      <w:r w:rsidR="00DC5EA8" w:rsidRPr="00CE0814">
        <w:rPr>
          <w:rFonts w:ascii="Verdana" w:hAnsi="Verdana" w:cs="Arial"/>
          <w:sz w:val="20"/>
          <w:lang w:val="pl-PL"/>
        </w:rPr>
        <w:t>ndeksu jest 31 grudnia 2012 r</w:t>
      </w:r>
      <w:r w:rsidRPr="00CE0814">
        <w:rPr>
          <w:rFonts w:ascii="Verdana" w:hAnsi="Verdana" w:cs="Arial"/>
          <w:sz w:val="20"/>
          <w:lang w:val="pl-PL"/>
        </w:rPr>
        <w:t>.</w:t>
      </w:r>
    </w:p>
    <w:p w:rsidR="00531CF7" w:rsidRPr="00CE0814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3729,44 punktów.</w:t>
      </w:r>
    </w:p>
    <w:p w:rsidR="00531CF7" w:rsidRPr="00CE0814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="00DC5EA8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z tytułu dywidend oraz praw poboru (indeks dochodowy). W tym celu stosuje się współczynnik korygujący obliczany na podstawie następującego wzoru: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     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M(t’)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       </w:t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>M(t)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oraz :</w:t>
      </w:r>
      <w:r w:rsidRPr="00CE0814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 xml:space="preserve"> </w:t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          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 =   ————————  * N(i)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</w:r>
      <w:r w:rsidRPr="00CE0814">
        <w:rPr>
          <w:rFonts w:ascii="Verdana" w:hAnsi="Verdana" w:cs="Arial"/>
          <w:sz w:val="20"/>
          <w:lang w:val="pl-PL"/>
        </w:rPr>
        <w:tab/>
        <w:t xml:space="preserve">               S(i) + 1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D(t) -</w:t>
      </w:r>
      <w:r w:rsidRPr="00CE0814">
        <w:rPr>
          <w:rFonts w:ascii="Verdana" w:hAnsi="Verdana" w:cs="Arial"/>
          <w:sz w:val="20"/>
          <w:lang w:val="pl-PL"/>
        </w:rPr>
        <w:tab/>
        <w:t>wartość dywidendy z akcji lub wartość teoretyczna dywidendy z akcji (obliczana przez Giełdę zgodnie ze Szczegółowymi Zasadami Obrotu Giełdowego w systemie UTP), które na sesji „t+1” po raz pierwszy będą notowane „bez dywidendy”; w przypadku ustalenia dywidendy w walucie obcej, kwota dywidendy zostaje przeliczona na złote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V(t) -</w:t>
      </w:r>
      <w:r w:rsidRPr="00CE0814">
        <w:rPr>
          <w:rFonts w:ascii="Verdana" w:hAnsi="Verdana" w:cs="Arial"/>
          <w:sz w:val="20"/>
          <w:lang w:val="pl-PL"/>
        </w:rPr>
        <w:tab/>
        <w:t>wartość teoretyczna praw poboru z akcji, które na sesji „t+1” po raz pierwszy będą notowane „bez prawa poboru”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>wartość teoretyczna praw poboru z akcji „i”, które na sesji „t+1” po raz pierwszy będą notowane „bez prawa poboru”; wartości teoretycznej V(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jest wyższa od kursu akcji 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Q(t) -</w:t>
      </w:r>
      <w:r w:rsidRPr="00CE0814">
        <w:rPr>
          <w:rFonts w:ascii="Verdana" w:hAnsi="Verdana" w:cs="Arial"/>
          <w:sz w:val="20"/>
          <w:lang w:val="pl-PL"/>
        </w:rPr>
        <w:tab/>
        <w:t>wartość rynkowa akcji wprowadzanych (+), bądź wyłączanych (-) z portfela indeksu po sesji „t”; dotyczy to zarówno zwiększania pakietów akcji spółek wcześniej uczestniczących w indeksie, jak również akcji spółek jeszcze nie uczestniczących w indeksie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i,t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 xml:space="preserve">kurs akcji „i” na sesji „t” 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P(</w:t>
      </w:r>
      <w:proofErr w:type="spellStart"/>
      <w:r w:rsidRPr="00CE0814">
        <w:rPr>
          <w:rFonts w:ascii="Verdana" w:hAnsi="Verdana" w:cs="Arial"/>
          <w:sz w:val="20"/>
          <w:lang w:val="pl-PL"/>
        </w:rPr>
        <w:t>i,em</w:t>
      </w:r>
      <w:proofErr w:type="spellEnd"/>
      <w:r w:rsidRPr="00CE0814">
        <w:rPr>
          <w:rFonts w:ascii="Verdana" w:hAnsi="Verdana" w:cs="Arial"/>
          <w:sz w:val="20"/>
          <w:lang w:val="pl-PL"/>
        </w:rPr>
        <w:t>) -</w:t>
      </w:r>
      <w:r w:rsidRPr="00CE0814">
        <w:rPr>
          <w:rFonts w:ascii="Verdana" w:hAnsi="Verdana" w:cs="Arial"/>
          <w:sz w:val="20"/>
          <w:lang w:val="pl-PL"/>
        </w:rPr>
        <w:tab/>
        <w:t>cena akcji nowej emisji z prawem poboru spółki „i”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S(i) -</w:t>
      </w:r>
      <w:r w:rsidRPr="00CE0814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531CF7" w:rsidRPr="00CE0814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N(i) -</w:t>
      </w:r>
      <w:r w:rsidRPr="00CE0814">
        <w:rPr>
          <w:rFonts w:ascii="Verdana" w:hAnsi="Verdana" w:cs="Arial"/>
          <w:sz w:val="20"/>
          <w:lang w:val="pl-PL"/>
        </w:rPr>
        <w:tab/>
        <w:t>liczba akcji spółki „i” w portfelu indeksu.</w:t>
      </w:r>
    </w:p>
    <w:p w:rsidR="00531CF7" w:rsidRPr="00CE0814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Rewizja roczna, korekta kwartalna i korekta nadzwyczajna uczestników indeksu przeprowadzane są zgodnie z zasadami przewidzianymi dla indeksu WIG30.</w:t>
      </w:r>
    </w:p>
    <w:p w:rsidR="00531CF7" w:rsidRPr="00CE0814" w:rsidRDefault="00531CF7">
      <w:pPr>
        <w:rPr>
          <w:rFonts w:ascii="Verdana" w:hAnsi="Verdana" w:cs="Arial"/>
          <w:sz w:val="20"/>
        </w:rPr>
      </w:pPr>
    </w:p>
    <w:p w:rsidR="00531CF7" w:rsidRPr="00CE0814" w:rsidRDefault="00531CF7">
      <w:pPr>
        <w:rPr>
          <w:rFonts w:ascii="Verdana" w:hAnsi="Verdana" w:cs="Arial"/>
          <w:color w:val="000000"/>
          <w:sz w:val="20"/>
          <w:szCs w:val="20"/>
        </w:rPr>
      </w:pPr>
    </w:p>
    <w:p w:rsidR="000C7D1A" w:rsidRPr="00CE0814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0C7D1A" w:rsidRPr="00CE0814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ROZDZIAŁ III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Szczegółowe zasady konstrukcji indeksu WIG, indeksów narodowych,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subindeksów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sektorowych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1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Warszawski Indeks Giełdowy WIG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967785" w:rsidRPr="00CE0814">
        <w:rPr>
          <w:rFonts w:ascii="Verdana" w:hAnsi="Verdana" w:cs="Arial"/>
          <w:sz w:val="20"/>
          <w:lang w:val="pl-PL"/>
        </w:rPr>
        <w:t>23</w:t>
      </w:r>
    </w:p>
    <w:p w:rsidR="00DD4B7C" w:rsidRPr="00CE0814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 skład portfela indeksu wchodzą pakiety akcji spółek notowanych na Giełdzie. </w:t>
      </w:r>
    </w:p>
    <w:p w:rsidR="00DD4B7C" w:rsidRPr="00CE0814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Datą bazową indeksu jest 16 kwietnia 1991 roku.</w:t>
      </w:r>
    </w:p>
    <w:p w:rsidR="00DD4B7C" w:rsidRPr="00CE0814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ED5FB3" w:rsidRPr="00CE0814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="00B407F8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z tytułu dywidend oraz praw poboru (indeks dochodowy). W tym celu stosuje się współczynnik korygujący obliczany na podstawie następującego wzoru:</w:t>
      </w:r>
    </w:p>
    <w:p w:rsidR="00F3648A" w:rsidRPr="00CE0814" w:rsidRDefault="00F3648A" w:rsidP="00F3648A">
      <w:pPr>
        <w:rPr>
          <w:rFonts w:ascii="Verdana" w:hAnsi="Verdana" w:cs="Arial"/>
          <w:sz w:val="20"/>
        </w:rPr>
      </w:pPr>
    </w:p>
    <w:p w:rsidR="00DD4B7C" w:rsidRPr="00CE0814" w:rsidRDefault="00DD4B7C" w:rsidP="00F3648A">
      <w:pPr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</w:rPr>
        <w:t xml:space="preserve">             </w:t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  <w:lang w:val="de-DE"/>
        </w:rPr>
        <w:t>M(t’)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  <w:t>K(t+1)  =   ————— * K(t)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       </w:t>
      </w:r>
      <w:r w:rsidRPr="00CE0814">
        <w:rPr>
          <w:rFonts w:ascii="Verdana" w:hAnsi="Verdana" w:cs="Arial"/>
          <w:sz w:val="20"/>
          <w:lang w:val="de-DE"/>
        </w:rPr>
        <w:tab/>
      </w:r>
      <w:r w:rsidRPr="00CE0814">
        <w:rPr>
          <w:rFonts w:ascii="Verdana" w:hAnsi="Verdana" w:cs="Arial"/>
          <w:sz w:val="20"/>
          <w:lang w:val="de-DE"/>
        </w:rPr>
        <w:tab/>
        <w:t>M(t)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</w:r>
      <w:proofErr w:type="spellStart"/>
      <w:r w:rsidRPr="00CE0814">
        <w:rPr>
          <w:rFonts w:ascii="Verdana" w:hAnsi="Verdana" w:cs="Arial"/>
          <w:sz w:val="20"/>
          <w:lang w:val="de-DE"/>
        </w:rPr>
        <w:t>oraz</w:t>
      </w:r>
      <w:proofErr w:type="spellEnd"/>
      <w:r w:rsidRPr="00CE0814">
        <w:rPr>
          <w:rFonts w:ascii="Verdana" w:hAnsi="Verdana" w:cs="Arial"/>
          <w:sz w:val="20"/>
          <w:lang w:val="de-DE"/>
        </w:rPr>
        <w:t xml:space="preserve"> :</w:t>
      </w:r>
      <w:r w:rsidRPr="00CE0814">
        <w:rPr>
          <w:rFonts w:ascii="Verdana" w:hAnsi="Verdana" w:cs="Arial"/>
          <w:sz w:val="20"/>
          <w:lang w:val="de-DE"/>
        </w:rPr>
        <w:tab/>
        <w:t>M(t’) = M(t) - D(t) - V(t) + Q(t)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</w:t>
      </w:r>
      <w:r w:rsidRPr="00CE0814">
        <w:rPr>
          <w:rFonts w:ascii="Verdana" w:hAnsi="Verdana" w:cs="Arial"/>
          <w:sz w:val="20"/>
          <w:lang w:val="de-DE"/>
        </w:rPr>
        <w:tab/>
        <w:t xml:space="preserve">                   </w:t>
      </w: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- 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  <w:t>gdzie :  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 =   ————————  * N(i)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  <w:t xml:space="preserve">          S(i) + 1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</w:p>
    <w:p w:rsidR="00DD4B7C" w:rsidRPr="00CE0814" w:rsidRDefault="00DD4B7C" w:rsidP="000C7D1A">
      <w:pPr>
        <w:pStyle w:val="Tekstpodstawowy"/>
        <w:tabs>
          <w:tab w:val="clear" w:pos="720"/>
          <w:tab w:val="left" w:pos="993"/>
        </w:tabs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D(t) - wartość dywidendy z akcji lub wartość teoretyczna dywidendy z akcji (obliczana przez Giełdę zgodnie ze Szczegółowymi Zasadami Obrotu Giełdowego</w:t>
      </w:r>
      <w:r w:rsidR="00731154" w:rsidRPr="00CE0814">
        <w:rPr>
          <w:rFonts w:ascii="Verdana" w:hAnsi="Verdana" w:cs="Arial"/>
          <w:sz w:val="20"/>
        </w:rPr>
        <w:t xml:space="preserve"> w systemie UTP</w:t>
      </w:r>
      <w:r w:rsidRPr="00CE0814">
        <w:rPr>
          <w:rFonts w:ascii="Verdana" w:hAnsi="Verdana" w:cs="Arial"/>
          <w:sz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dywidendy”; w</w:t>
      </w:r>
      <w:r w:rsidR="00731154" w:rsidRPr="00CE0814">
        <w:rPr>
          <w:rFonts w:ascii="Verdana" w:hAnsi="Verdana" w:cs="Arial"/>
          <w:sz w:val="20"/>
        </w:rPr>
        <w:t> </w:t>
      </w:r>
      <w:r w:rsidRPr="00CE0814">
        <w:rPr>
          <w:rFonts w:ascii="Verdana" w:hAnsi="Verdana" w:cs="Arial"/>
          <w:sz w:val="20"/>
        </w:rPr>
        <w:t>przypadku ustalenia dywidendy w walucie obcej, kwota dywidendy zostaje przeliczona na złote</w:t>
      </w:r>
    </w:p>
    <w:p w:rsidR="00DD4B7C" w:rsidRPr="00CE0814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V(t) - 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prawa poboru”</w:t>
      </w:r>
    </w:p>
    <w:p w:rsidR="00DD4B7C" w:rsidRPr="00CE0814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prawa poboru”; wartości teoretycznej 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nie oblicza się, jeśli cena emisyjna 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 jest wyższa od kursu akcji 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</w:t>
      </w:r>
    </w:p>
    <w:p w:rsidR="00DD4B7C" w:rsidRPr="00CE0814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Q(t) - wartość rynkowa akcji wprowadzanych (+), bądź wyłączanych (-) z portfela indeksu po sesji „t”; dotyczy to zarówno zwiększania pakietów akcji spółek wcześniej uczestniczących w indeksie, jak również akcji spółek jeszcze nie uczestniczących w indeksie</w:t>
      </w:r>
    </w:p>
    <w:p w:rsidR="00DD4B7C" w:rsidRPr="00CE0814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 xml:space="preserve">) -   kurs akcji „i” na sesji „t” </w:t>
      </w:r>
    </w:p>
    <w:p w:rsidR="00DD4B7C" w:rsidRPr="00CE0814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 - cena akcji nowej emisji z prawem poboru spółki „i”</w:t>
      </w:r>
    </w:p>
    <w:p w:rsidR="00DD4B7C" w:rsidRPr="00CE0814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S(i) - </w:t>
      </w:r>
      <w:r w:rsidRPr="00CE0814">
        <w:rPr>
          <w:rFonts w:ascii="Verdana" w:hAnsi="Verdana" w:cs="Arial"/>
          <w:sz w:val="20"/>
        </w:rPr>
        <w:tab/>
        <w:t xml:space="preserve">  liczba praw niezbędna do objęcia 1 akcji nowej emisji spółki „i”</w:t>
      </w:r>
    </w:p>
    <w:p w:rsidR="00DD4B7C" w:rsidRPr="00CE0814" w:rsidRDefault="00DD4B7C" w:rsidP="000C7D1A">
      <w:pPr>
        <w:pStyle w:val="Tekstpodstawowy"/>
        <w:spacing w:after="120" w:line="360" w:lineRule="auto"/>
        <w:ind w:left="851" w:hanging="709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N(i) - </w:t>
      </w:r>
      <w:r w:rsidRPr="00CE0814">
        <w:rPr>
          <w:rFonts w:ascii="Verdana" w:hAnsi="Verdana" w:cs="Arial"/>
          <w:sz w:val="20"/>
        </w:rPr>
        <w:tab/>
        <w:t xml:space="preserve">  liczba akcji spółki „i” w portfelu indeksu.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</w:t>
      </w:r>
      <w:r w:rsidR="00967785" w:rsidRPr="00CE0814">
        <w:rPr>
          <w:rFonts w:ascii="Verdana" w:hAnsi="Verdana" w:cs="Arial"/>
          <w:sz w:val="20"/>
          <w:lang w:val="pl-PL"/>
        </w:rPr>
        <w:t>4</w:t>
      </w:r>
    </w:p>
    <w:p w:rsidR="00DD4B7C" w:rsidRPr="00CE0814" w:rsidRDefault="00DD4B7C" w:rsidP="00692C24">
      <w:pPr>
        <w:pStyle w:val="Tekstpodstawowy1"/>
        <w:numPr>
          <w:ilvl w:val="0"/>
          <w:numId w:val="1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Po sesji trzeciego piątku marca, czerwca, września i grudnia przeprowadzana jest rewizja kwartalna portfela indeksu, której celem jest wyznaczenie nowych pakietów akcji.</w:t>
      </w:r>
    </w:p>
    <w:p w:rsidR="00DD4B7C" w:rsidRPr="00CE0814" w:rsidRDefault="00995BC0" w:rsidP="00692C24">
      <w:pPr>
        <w:pStyle w:val="Tekstpodstawowy1"/>
        <w:numPr>
          <w:ilvl w:val="0"/>
          <w:numId w:val="1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bCs/>
          <w:sz w:val="20"/>
          <w:lang w:val="pl-PL"/>
        </w:rPr>
        <w:t>Pakiety akcji wchodzących w skład portfela indeksu wyznaczane są według stanu na koniec lutego, maja, sierpnia i listopada.</w:t>
      </w:r>
    </w:p>
    <w:p w:rsidR="00DD4B7C" w:rsidRPr="00CE0814" w:rsidRDefault="00DD4B7C" w:rsidP="00692C24">
      <w:pPr>
        <w:pStyle w:val="Tekstpodstawowy1"/>
        <w:numPr>
          <w:ilvl w:val="0"/>
          <w:numId w:val="1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jest redukowana proporcjonalnie podczas rewizji, jeżeli wartość akcji danej spółki znajdująca się w portfelu indeksu przekracza 10% jego wartości lub gdy wartość pakietów akcji w portfelu indeksu uczestników zakwalifikowanych do jednego sektora według klasyfikacji sektorowej stosowanej przez giełdę, przekracza 30% jego wartości.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</w:t>
      </w:r>
      <w:r w:rsidR="00967785" w:rsidRPr="00CE0814">
        <w:rPr>
          <w:rFonts w:ascii="Verdana" w:hAnsi="Verdana" w:cs="Arial"/>
          <w:sz w:val="20"/>
          <w:lang w:val="pl-PL"/>
        </w:rPr>
        <w:t>5</w:t>
      </w:r>
    </w:p>
    <w:p w:rsidR="00DD4B7C" w:rsidRPr="00CE0814" w:rsidRDefault="00DD4B7C" w:rsidP="00DD4B7C">
      <w:pPr>
        <w:pStyle w:val="Tekstpodstawowy"/>
        <w:tabs>
          <w:tab w:val="clear" w:pos="720"/>
        </w:tabs>
        <w:spacing w:after="120" w:line="360" w:lineRule="auto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2</w:t>
      </w:r>
      <w:r w:rsidR="00967785" w:rsidRPr="00CE0814">
        <w:rPr>
          <w:rFonts w:ascii="Verdana" w:hAnsi="Verdana" w:cs="Arial"/>
          <w:sz w:val="20"/>
          <w:lang w:val="pl-PL"/>
        </w:rPr>
        <w:t>6</w:t>
      </w:r>
    </w:p>
    <w:p w:rsidR="00DD4B7C" w:rsidRPr="00CE0814" w:rsidRDefault="00DD4B7C" w:rsidP="00692C24">
      <w:pPr>
        <w:pStyle w:val="Tekstpodstawowy1"/>
        <w:numPr>
          <w:ilvl w:val="0"/>
          <w:numId w:val="1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Nadzwyczajna korekta uczestników indeksu może zostać przeprowadzona w przypadku pierwszego wprowadzenia spółki (debiutu) do obrotu giełdowego.</w:t>
      </w:r>
    </w:p>
    <w:p w:rsidR="00DD4B7C" w:rsidRPr="00CE0814" w:rsidRDefault="00DD4B7C" w:rsidP="00692C24">
      <w:pPr>
        <w:pStyle w:val="Tekstpodstawowy1"/>
        <w:numPr>
          <w:ilvl w:val="0"/>
          <w:numId w:val="1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Akcje spółki debiutującej wpisywane są na listę uczestników indeksu po trzech sesjach od debiutu.</w:t>
      </w:r>
    </w:p>
    <w:p w:rsidR="00DD4B7C" w:rsidRPr="00CE0814" w:rsidRDefault="00DD4B7C" w:rsidP="00692C24">
      <w:pPr>
        <w:pStyle w:val="Tekstpodstawowy1"/>
        <w:numPr>
          <w:ilvl w:val="0"/>
          <w:numId w:val="1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spółki debiutującej w portfelu indeksu wyznaczana jest zgodnie z zasadami rewizji kwartalnej portfela indeksu.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0C7D1A" w:rsidRPr="00CE0814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2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Indeksy narodowe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§ </w:t>
      </w:r>
      <w:r w:rsidR="00CD5394" w:rsidRPr="00CE0814">
        <w:rPr>
          <w:rFonts w:ascii="Verdana" w:hAnsi="Verdana" w:cs="Arial"/>
          <w:sz w:val="20"/>
          <w:szCs w:val="20"/>
        </w:rPr>
        <w:t>2</w:t>
      </w:r>
      <w:r w:rsidR="00967785" w:rsidRPr="00CE0814">
        <w:rPr>
          <w:rFonts w:ascii="Verdana" w:hAnsi="Verdana" w:cs="Arial"/>
          <w:sz w:val="20"/>
          <w:szCs w:val="20"/>
        </w:rPr>
        <w:t>7</w:t>
      </w:r>
    </w:p>
    <w:p w:rsidR="00DD4B7C" w:rsidRPr="00CE0814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Giełda oblicza i podaje do publicznej wiadomości wartości następujących indeksów narodowych:</w:t>
      </w:r>
    </w:p>
    <w:p w:rsidR="00DD4B7C" w:rsidRPr="00CE0814" w:rsidRDefault="00DD4B7C" w:rsidP="00A0431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WIG-Poland,</w:t>
      </w:r>
    </w:p>
    <w:p w:rsidR="00DD4B7C" w:rsidRPr="00CE0814" w:rsidRDefault="00DD4B7C" w:rsidP="00A0431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WIG-</w:t>
      </w:r>
      <w:proofErr w:type="spellStart"/>
      <w:r w:rsidRPr="00CE0814">
        <w:rPr>
          <w:rFonts w:ascii="Verdana" w:hAnsi="Verdana" w:cs="Arial"/>
          <w:sz w:val="20"/>
        </w:rPr>
        <w:t>Ukraine</w:t>
      </w:r>
      <w:proofErr w:type="spellEnd"/>
      <w:r w:rsidRPr="00CE0814">
        <w:rPr>
          <w:rFonts w:ascii="Verdana" w:hAnsi="Verdana" w:cs="Arial"/>
          <w:sz w:val="20"/>
        </w:rPr>
        <w:t>.</w:t>
      </w:r>
    </w:p>
    <w:p w:rsidR="00DD4B7C" w:rsidRPr="00CE0814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W skład portfeli indeksów narodowych wchodzą pakiety akcji spółek notowanych na Giełdzie. </w:t>
      </w:r>
    </w:p>
    <w:p w:rsidR="00DD4B7C" w:rsidRPr="00CE0814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Dokonując oceny statusu da</w:t>
      </w:r>
      <w:r w:rsidRPr="00CE0814">
        <w:rPr>
          <w:rFonts w:ascii="Verdana" w:hAnsi="Verdana" w:cs="Arial"/>
          <w:sz w:val="20"/>
        </w:rPr>
        <w:t>nej spółki Giełda bierze pod uwagę państwo siedziby lub centrali spółki, państwo, w którym spółka lub spółki zależne prowadzą działalność w największym zakresie oraz państwo, na terytorium którego została przeprowadzona pierwsza oferta publiczna akcji spółki. Dokonując oceny statusu spółki Giełda zasięga opinii Komitetu Indeksów Giełdowych.</w:t>
      </w:r>
    </w:p>
    <w:p w:rsidR="00DD4B7C" w:rsidRPr="00CE0814" w:rsidRDefault="00AD6E1A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[skreślony]</w:t>
      </w:r>
    </w:p>
    <w:p w:rsidR="00DD4B7C" w:rsidRPr="00CE0814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Datami bazowymi indeksów narodowych są:</w:t>
      </w:r>
    </w:p>
    <w:p w:rsidR="00DD4B7C" w:rsidRPr="00CE0814" w:rsidRDefault="00DD4B7C" w:rsidP="00A04312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16 kwietnia 1991 roku dla WIG-Poland,</w:t>
      </w:r>
    </w:p>
    <w:p w:rsidR="00DD4B7C" w:rsidRPr="00CE0814" w:rsidRDefault="00DD4B7C" w:rsidP="00A04312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31 grudnia 2010 roku dla WIG-</w:t>
      </w:r>
      <w:proofErr w:type="spellStart"/>
      <w:r w:rsidRPr="00CE0814">
        <w:rPr>
          <w:rFonts w:ascii="Verdana" w:hAnsi="Verdana" w:cs="Arial"/>
          <w:sz w:val="20"/>
        </w:rPr>
        <w:t>Ukraine</w:t>
      </w:r>
      <w:proofErr w:type="spellEnd"/>
      <w:r w:rsidRPr="00CE0814">
        <w:rPr>
          <w:rFonts w:ascii="Verdana" w:hAnsi="Verdana" w:cs="Arial"/>
          <w:sz w:val="20"/>
        </w:rPr>
        <w:t>.</w:t>
      </w:r>
    </w:p>
    <w:p w:rsidR="00DD4B7C" w:rsidRPr="00CE0814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Wartościami bazowymi indeksów narodowych są:</w:t>
      </w:r>
    </w:p>
    <w:p w:rsidR="00DD4B7C" w:rsidRPr="00CE0814" w:rsidRDefault="00DD4B7C" w:rsidP="00A04312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1000,00 punktów dla WIG-Poland,</w:t>
      </w:r>
    </w:p>
    <w:p w:rsidR="00DD4B7C" w:rsidRPr="00CE0814" w:rsidRDefault="00DD4B7C" w:rsidP="00A04312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1000,00 punktów dla WIG-</w:t>
      </w:r>
      <w:proofErr w:type="spellStart"/>
      <w:r w:rsidRPr="00CE0814">
        <w:rPr>
          <w:rFonts w:ascii="Verdana" w:hAnsi="Verdana" w:cs="Arial"/>
          <w:sz w:val="20"/>
          <w:szCs w:val="20"/>
        </w:rPr>
        <w:t>Ukraine</w:t>
      </w:r>
      <w:proofErr w:type="spellEnd"/>
      <w:r w:rsidRPr="00CE0814">
        <w:rPr>
          <w:rFonts w:ascii="Verdana" w:hAnsi="Verdana" w:cs="Arial"/>
          <w:sz w:val="20"/>
          <w:szCs w:val="20"/>
        </w:rPr>
        <w:t>.</w:t>
      </w:r>
    </w:p>
    <w:p w:rsidR="00DD4B7C" w:rsidRPr="00CE0814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Indeksy narodowe obliczane są z uwzględnianiem dochodów z akcji, w szczególności z tytułu dywidend oraz praw poboru (indeks dochodowy). W tym celu stosuje się współczynnik korygujący obliczany na podstawie następującego wzoru:</w:t>
      </w:r>
    </w:p>
    <w:p w:rsidR="000C7D1A" w:rsidRPr="00CE0814" w:rsidRDefault="000C7D1A" w:rsidP="000C7D1A">
      <w:pPr>
        <w:pStyle w:val="Akapitzlist"/>
        <w:spacing w:after="120" w:line="360" w:lineRule="auto"/>
        <w:ind w:left="426"/>
        <w:jc w:val="both"/>
        <w:rPr>
          <w:rFonts w:ascii="Verdana" w:hAnsi="Verdana" w:cs="Arial"/>
          <w:sz w:val="20"/>
        </w:rPr>
      </w:pP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</w:rPr>
        <w:t xml:space="preserve">             </w:t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  <w:lang w:val="de-DE"/>
        </w:rPr>
        <w:t>M(t’)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  <w:t>K(t+1)  =   ————— * K(t)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       </w:t>
      </w:r>
      <w:r w:rsidRPr="00CE0814">
        <w:rPr>
          <w:rFonts w:ascii="Verdana" w:hAnsi="Verdana" w:cs="Arial"/>
          <w:sz w:val="20"/>
          <w:lang w:val="de-DE"/>
        </w:rPr>
        <w:tab/>
        <w:t>M(t)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</w:r>
      <w:proofErr w:type="spellStart"/>
      <w:r w:rsidRPr="00CE0814">
        <w:rPr>
          <w:rFonts w:ascii="Verdana" w:hAnsi="Verdana" w:cs="Arial"/>
          <w:sz w:val="20"/>
          <w:lang w:val="de-DE"/>
        </w:rPr>
        <w:t>oraz</w:t>
      </w:r>
      <w:proofErr w:type="spellEnd"/>
      <w:r w:rsidRPr="00CE0814">
        <w:rPr>
          <w:rFonts w:ascii="Verdana" w:hAnsi="Verdana" w:cs="Arial"/>
          <w:sz w:val="20"/>
          <w:lang w:val="de-DE"/>
        </w:rPr>
        <w:t xml:space="preserve"> :</w:t>
      </w:r>
      <w:r w:rsidRPr="00CE0814">
        <w:rPr>
          <w:rFonts w:ascii="Verdana" w:hAnsi="Verdana" w:cs="Arial"/>
          <w:sz w:val="20"/>
          <w:lang w:val="de-DE"/>
        </w:rPr>
        <w:tab/>
        <w:t>M(t’) = M(t) - D(t) - V(t) + Q(t)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</w:t>
      </w:r>
      <w:r w:rsidRPr="00CE0814">
        <w:rPr>
          <w:rFonts w:ascii="Verdana" w:hAnsi="Verdana" w:cs="Arial"/>
          <w:sz w:val="20"/>
          <w:lang w:val="de-DE"/>
        </w:rPr>
        <w:tab/>
        <w:t xml:space="preserve">          </w:t>
      </w: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- 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  <w:t>gdzie :  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 =   ———————  * N(i)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  <w:t xml:space="preserve">     S(i) + 1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D(t) -  wartość dywidendy z akcji lub wartość teoretyczna dywidendy z akcji (obliczana przez Giełdę zgodnie ze Szczegółowymi Zasadami Obrotu Giełdowego</w:t>
      </w:r>
      <w:r w:rsidR="00731154" w:rsidRPr="00CE0814">
        <w:rPr>
          <w:rFonts w:ascii="Verdana" w:hAnsi="Verdana" w:cs="Arial"/>
          <w:sz w:val="20"/>
        </w:rPr>
        <w:t xml:space="preserve"> w systemie UTP</w:t>
      </w:r>
      <w:r w:rsidRPr="00CE0814">
        <w:rPr>
          <w:rFonts w:ascii="Verdana" w:hAnsi="Verdana" w:cs="Arial"/>
          <w:sz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dywidendy”</w:t>
      </w:r>
      <w:r w:rsidR="000C0D81" w:rsidRPr="00CE0814">
        <w:rPr>
          <w:rFonts w:ascii="Verdana" w:hAnsi="Verdana" w:cs="Arial"/>
          <w:sz w:val="20"/>
        </w:rPr>
        <w:t>; w przypadku ustalenia dywidendy w walucie obcej, kwota dywidendy zostaje przeliczona na złote</w:t>
      </w:r>
    </w:p>
    <w:p w:rsidR="00DD4B7C" w:rsidRPr="00CE0814" w:rsidRDefault="00DD4B7C" w:rsidP="00DD4B7C">
      <w:pPr>
        <w:pStyle w:val="Tekstpodstawowy"/>
        <w:tabs>
          <w:tab w:val="clear" w:pos="720"/>
          <w:tab w:val="left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V(t) -  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prawa poboru”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prawa poboru”; wartości teoretycznej 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nie oblicza się, jeśli cena emisyjna 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 jest wyższa od kursu akcji 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).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Q(t) - wartość rynkowa akcji wprowadzanych (+), bądź wyłączanych (-) z portfela indeksu po sesji „t”; dotyczy to zarówno zwiększania pakietów akcji spółek wcześniej uczestniczących w indeksie, jak również akcji spółek jeszcze </w:t>
      </w:r>
      <w:r w:rsidR="00F3648A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>nie uczestniczących w indeksie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 xml:space="preserve">) -   kurs akcji „i” na sesji „t” 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 - cena akcji nowej emisji z prawem poboru spółki „i”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S(i) -     liczba praw niezbędna do objęcia 1 akcji nowej emisji spółki „i”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N(i) -     liczba akcji spółki „i” w portfelu indeksu.</w:t>
      </w:r>
    </w:p>
    <w:p w:rsidR="00DD4B7C" w:rsidRPr="00CE0814" w:rsidRDefault="00DD4B7C" w:rsidP="00DD4B7C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§ </w:t>
      </w:r>
      <w:r w:rsidR="00CD5394" w:rsidRPr="00CE0814">
        <w:rPr>
          <w:rFonts w:ascii="Verdana" w:hAnsi="Verdana" w:cs="Arial"/>
          <w:sz w:val="20"/>
        </w:rPr>
        <w:t>2</w:t>
      </w:r>
      <w:r w:rsidR="00967785" w:rsidRPr="00CE0814">
        <w:rPr>
          <w:rFonts w:ascii="Verdana" w:hAnsi="Verdana" w:cs="Arial"/>
          <w:sz w:val="20"/>
        </w:rPr>
        <w:t>8</w:t>
      </w:r>
    </w:p>
    <w:p w:rsidR="00DD4B7C" w:rsidRPr="00CE0814" w:rsidRDefault="00DD4B7C" w:rsidP="00A04312">
      <w:pPr>
        <w:pStyle w:val="Tekstpodstawowy"/>
        <w:numPr>
          <w:ilvl w:val="0"/>
          <w:numId w:val="32"/>
        </w:numPr>
        <w:tabs>
          <w:tab w:val="clear" w:pos="720"/>
        </w:tabs>
        <w:spacing w:line="360" w:lineRule="auto"/>
        <w:ind w:left="426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Po sesji trzeciego piątku marca, czerwca, września i grudnia przeprowadzana jest rewizja kwartalna portfela indeksu narodowego, której celem jest wyznaczenie nowych pakietów akcji.</w:t>
      </w:r>
    </w:p>
    <w:p w:rsidR="00DD4B7C" w:rsidRPr="00CE0814" w:rsidRDefault="00DD4B7C" w:rsidP="00A04312">
      <w:pPr>
        <w:pStyle w:val="Tekstpodstawowy"/>
        <w:numPr>
          <w:ilvl w:val="0"/>
          <w:numId w:val="32"/>
        </w:numPr>
        <w:tabs>
          <w:tab w:val="clear" w:pos="720"/>
        </w:tabs>
        <w:spacing w:line="360" w:lineRule="auto"/>
        <w:ind w:left="425" w:hanging="357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Pakiet akcji wchodzący w skład portfela indeksu narodowego wyznaczany jest według stanu na koniec lutego, maja, sierpnia i listopada.</w:t>
      </w:r>
    </w:p>
    <w:p w:rsidR="00DD4B7C" w:rsidRPr="00CE0814" w:rsidRDefault="00DD4B7C" w:rsidP="00A04312">
      <w:pPr>
        <w:pStyle w:val="Tekstpodstawowy"/>
        <w:numPr>
          <w:ilvl w:val="0"/>
          <w:numId w:val="32"/>
        </w:numPr>
        <w:tabs>
          <w:tab w:val="clear" w:pos="720"/>
        </w:tabs>
        <w:spacing w:line="360" w:lineRule="auto"/>
        <w:ind w:left="425" w:hanging="357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Wielkość pakietu akcji spółki uczestniczącej w indeksie jest redukowana proporcjonalnie podczas rewizji:</w:t>
      </w:r>
    </w:p>
    <w:p w:rsidR="00DD4B7C" w:rsidRPr="00CE0814" w:rsidRDefault="00DD4B7C" w:rsidP="00A04312">
      <w:pPr>
        <w:pStyle w:val="Tekstpodstawowy"/>
        <w:numPr>
          <w:ilvl w:val="0"/>
          <w:numId w:val="33"/>
        </w:numPr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dla WIG-Poland jeżeli wartość akcji danej spółki znajdująca się w portfelu indeksu przekracza 10% jego wartości lub gdy wartość pakietów akcji </w:t>
      </w:r>
      <w:r w:rsidR="00BE6F94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>w portfelu indeksu uczestników zakwalifikowanych do jednego sektora według klasyfikacji sektorowej stosowanej przez giełdę, przekracza 30% jego wartości;</w:t>
      </w:r>
    </w:p>
    <w:p w:rsidR="00157069" w:rsidRPr="00CE0814" w:rsidRDefault="00DD4B7C" w:rsidP="0068637E">
      <w:pPr>
        <w:pStyle w:val="Tekstpodstawowy"/>
        <w:numPr>
          <w:ilvl w:val="0"/>
          <w:numId w:val="33"/>
        </w:numPr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dla WIG-</w:t>
      </w:r>
      <w:proofErr w:type="spellStart"/>
      <w:r w:rsidRPr="00CE0814">
        <w:rPr>
          <w:rFonts w:ascii="Verdana" w:hAnsi="Verdana" w:cs="Arial"/>
          <w:sz w:val="20"/>
        </w:rPr>
        <w:t>Ukraine</w:t>
      </w:r>
      <w:proofErr w:type="spellEnd"/>
      <w:r w:rsidRPr="00CE0814">
        <w:rPr>
          <w:rFonts w:ascii="Verdana" w:hAnsi="Verdana" w:cs="Arial"/>
          <w:sz w:val="20"/>
        </w:rPr>
        <w:t xml:space="preserve"> jeżeli wartość akcji danej spółki znajdująca się w portfelu indeksu przekracza 10% jego wartości. W przypadku, gdy liczba spółek uczestniczących w indeksie WIG-</w:t>
      </w:r>
      <w:proofErr w:type="spellStart"/>
      <w:r w:rsidRPr="00CE0814">
        <w:rPr>
          <w:rFonts w:ascii="Verdana" w:hAnsi="Verdana" w:cs="Arial"/>
          <w:sz w:val="20"/>
        </w:rPr>
        <w:t>Ukraine</w:t>
      </w:r>
      <w:proofErr w:type="spellEnd"/>
      <w:r w:rsidRPr="00CE0814">
        <w:rPr>
          <w:rFonts w:ascii="Verdana" w:hAnsi="Verdana" w:cs="Arial"/>
          <w:sz w:val="20"/>
        </w:rPr>
        <w:t xml:space="preserve"> jest mniejsza niż 20, wielkość pakietu akcji danej spółki jest redukowana proporcjonalnie podczas rewizji, jeżeli wartość akcji danej spółki znajdująca się w portfelu indeksu przekracza 40% jego wartości.</w:t>
      </w:r>
    </w:p>
    <w:p w:rsidR="00DD4B7C" w:rsidRPr="00CE0814" w:rsidRDefault="00DD4B7C" w:rsidP="00157069">
      <w:pPr>
        <w:pStyle w:val="Tekstpodstawowy"/>
        <w:tabs>
          <w:tab w:val="clear" w:pos="720"/>
        </w:tabs>
        <w:spacing w:after="120" w:line="360" w:lineRule="auto"/>
        <w:ind w:left="785" w:hanging="785"/>
        <w:jc w:val="center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§ </w:t>
      </w:r>
      <w:r w:rsidR="00CD5394" w:rsidRPr="00CE0814">
        <w:rPr>
          <w:rFonts w:ascii="Verdana" w:hAnsi="Verdana" w:cs="Arial"/>
          <w:sz w:val="20"/>
        </w:rPr>
        <w:t>2</w:t>
      </w:r>
      <w:r w:rsidR="00967785" w:rsidRPr="00CE0814">
        <w:rPr>
          <w:rFonts w:ascii="Verdana" w:hAnsi="Verdana" w:cs="Arial"/>
          <w:sz w:val="20"/>
        </w:rPr>
        <w:t>9</w:t>
      </w:r>
    </w:p>
    <w:p w:rsidR="00DD4B7C" w:rsidRPr="00CE0814" w:rsidRDefault="00DD4B7C" w:rsidP="00DD4B7C">
      <w:pPr>
        <w:pStyle w:val="Tekstpodstawowy"/>
        <w:tabs>
          <w:tab w:val="clear" w:pos="720"/>
        </w:tabs>
        <w:spacing w:after="120" w:line="360" w:lineRule="auto"/>
        <w:ind w:left="142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>W szczególnych przypadkach może zostać przeprowadzona nadzwyczajna korekta uczestników indeksu w celu skreślenia spółki z listy uczestników indeksu.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2"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967785" w:rsidRPr="00CE0814">
        <w:rPr>
          <w:rFonts w:ascii="Verdana" w:hAnsi="Verdana" w:cs="Arial"/>
          <w:sz w:val="20"/>
          <w:lang w:val="pl-PL"/>
        </w:rPr>
        <w:t>30</w:t>
      </w:r>
    </w:p>
    <w:p w:rsidR="00DD4B7C" w:rsidRPr="00CE0814" w:rsidRDefault="00DD4B7C" w:rsidP="00A04312">
      <w:pPr>
        <w:pStyle w:val="Tekstpodstawowy1"/>
        <w:numPr>
          <w:ilvl w:val="0"/>
          <w:numId w:val="3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Nadzwyczajna korekta uczestników indeksu może zostać przeprowadzona w przypadku pierwszego wprowadzenia spółki (debiutu) do obrotu giełdowego.</w:t>
      </w:r>
    </w:p>
    <w:p w:rsidR="00DD4B7C" w:rsidRPr="00CE0814" w:rsidRDefault="00DD4B7C" w:rsidP="00A04312">
      <w:pPr>
        <w:pStyle w:val="Tekstpodstawowy1"/>
        <w:numPr>
          <w:ilvl w:val="0"/>
          <w:numId w:val="3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2" w:hanging="358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Akcje spółki debiutującej wpisywane są na listę uczestników indeksu po trzech sesjach od debiutu.</w:t>
      </w:r>
    </w:p>
    <w:p w:rsidR="00DD4B7C" w:rsidRPr="00CE0814" w:rsidRDefault="00DD4B7C" w:rsidP="00A04312">
      <w:pPr>
        <w:pStyle w:val="Tekstpodstawowy1"/>
        <w:numPr>
          <w:ilvl w:val="0"/>
          <w:numId w:val="3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2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Wielkość pakietu akcji spółki debiutującej w portfelu indeksu wyznaczana jest zgodnie z zasadami rewizji kwartalnej portfela indeksu.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Oddział 3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proofErr w:type="spellStart"/>
      <w:r w:rsidRPr="00CE0814">
        <w:rPr>
          <w:rFonts w:ascii="Verdana" w:hAnsi="Verdana" w:cs="Arial"/>
          <w:sz w:val="20"/>
          <w:lang w:val="pl-PL"/>
        </w:rPr>
        <w:t>Subindeksy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Sektorowe Indeksu WIG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967785" w:rsidRPr="00CE0814">
        <w:rPr>
          <w:rFonts w:ascii="Verdana" w:hAnsi="Verdana" w:cs="Arial"/>
          <w:sz w:val="20"/>
          <w:lang w:val="pl-PL"/>
        </w:rPr>
        <w:t>31</w:t>
      </w:r>
    </w:p>
    <w:p w:rsidR="00DD4B7C" w:rsidRPr="00CE0814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color w:val="auto"/>
          <w:sz w:val="20"/>
          <w:lang w:val="pl-PL"/>
        </w:rPr>
        <w:t xml:space="preserve">W skład portfeli </w:t>
      </w:r>
      <w:proofErr w:type="spellStart"/>
      <w:r w:rsidRPr="00CE0814">
        <w:rPr>
          <w:rFonts w:ascii="Verdana" w:hAnsi="Verdana" w:cs="Arial"/>
          <w:color w:val="auto"/>
          <w:sz w:val="20"/>
          <w:lang w:val="pl-PL"/>
        </w:rPr>
        <w:t>subindeksów</w:t>
      </w:r>
      <w:proofErr w:type="spellEnd"/>
      <w:r w:rsidRPr="00CE0814">
        <w:rPr>
          <w:rFonts w:ascii="Verdana" w:hAnsi="Verdana" w:cs="Arial"/>
          <w:color w:val="auto"/>
          <w:sz w:val="20"/>
          <w:lang w:val="pl-PL"/>
        </w:rPr>
        <w:t xml:space="preserve"> sektorowych, wchodzą spółki uczestniczące </w:t>
      </w:r>
      <w:r w:rsidR="00F3648A" w:rsidRPr="00CE0814">
        <w:rPr>
          <w:rFonts w:ascii="Verdana" w:hAnsi="Verdana" w:cs="Arial"/>
          <w:color w:val="auto"/>
          <w:sz w:val="20"/>
          <w:lang w:val="pl-PL"/>
        </w:rPr>
        <w:br/>
      </w:r>
      <w:r w:rsidRPr="00CE0814">
        <w:rPr>
          <w:rFonts w:ascii="Verdana" w:hAnsi="Verdana" w:cs="Arial"/>
          <w:color w:val="auto"/>
          <w:sz w:val="20"/>
          <w:lang w:val="pl-PL"/>
        </w:rPr>
        <w:t>w indeksie WIG, które zostały zakwalifikowane do odpowiedniego sektora według klasyfikacji sektorowej Giełdy.</w:t>
      </w:r>
    </w:p>
    <w:p w:rsidR="00DD4B7C" w:rsidRPr="00CE0814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Giełda oblicza i podaje do publicznej wiadomości wartości następujących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subindeksów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sektorowych indeksu WIG: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WIG – spożywczy,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banki</w:t>
      </w:r>
      <w:proofErr w:type="spellEnd"/>
      <w:r w:rsidRPr="00CE0814">
        <w:rPr>
          <w:rFonts w:ascii="Verdana" w:hAnsi="Verdana" w:cs="Arial"/>
          <w:sz w:val="20"/>
        </w:rPr>
        <w:t xml:space="preserve">, 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budownictwo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telekomunikacja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es-ES_tradnl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informatyka</w:t>
      </w:r>
      <w:proofErr w:type="spellEnd"/>
      <w:r w:rsidRPr="00CE0814">
        <w:rPr>
          <w:rFonts w:ascii="Verdana" w:hAnsi="Verdana" w:cs="Arial"/>
          <w:sz w:val="20"/>
          <w:lang w:val="es-ES_tradnl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es-ES_tradnl"/>
        </w:rPr>
        <w:t>WIG - media,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paliwa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nieruchomości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chemia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energia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górnictwo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odzież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– </w:t>
      </w:r>
      <w:proofErr w:type="spellStart"/>
      <w:r w:rsidRPr="00CE0814">
        <w:rPr>
          <w:rFonts w:ascii="Verdana" w:hAnsi="Verdana" w:cs="Arial"/>
          <w:sz w:val="20"/>
        </w:rPr>
        <w:t>leki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WIG - </w:t>
      </w:r>
      <w:proofErr w:type="spellStart"/>
      <w:r w:rsidRPr="00CE0814">
        <w:rPr>
          <w:rFonts w:ascii="Verdana" w:hAnsi="Verdana" w:cs="Arial"/>
          <w:sz w:val="20"/>
        </w:rPr>
        <w:t>motoryzacja</w:t>
      </w:r>
      <w:proofErr w:type="spellEnd"/>
      <w:r w:rsidRPr="00CE0814">
        <w:rPr>
          <w:rFonts w:ascii="Verdana" w:hAnsi="Verdana" w:cs="Arial"/>
          <w:sz w:val="20"/>
        </w:rPr>
        <w:t>.</w:t>
      </w:r>
    </w:p>
    <w:p w:rsidR="00DD4B7C" w:rsidRPr="00CE0814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Datami bazowymi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subindeksów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sektorowych indeksu WIG są: 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1998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– spożywczy,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1998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banki, 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1998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budownictwo,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1998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telekomunikacja,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1998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informatyka,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2004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media,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30 grudnia 2005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paliwa,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15 czerwca 2007 </w:t>
      </w:r>
      <w:r w:rsidR="00FD6383" w:rsidRPr="00CE0814">
        <w:rPr>
          <w:rFonts w:ascii="Verdana" w:hAnsi="Verdana" w:cs="Arial"/>
          <w:sz w:val="20"/>
          <w:lang w:val="pl-PL"/>
        </w:rPr>
        <w:t>r.</w:t>
      </w:r>
      <w:r w:rsidRPr="00CE0814">
        <w:rPr>
          <w:rFonts w:ascii="Verdana" w:hAnsi="Verdana" w:cs="Arial"/>
          <w:sz w:val="20"/>
          <w:lang w:val="pl-PL"/>
        </w:rPr>
        <w:t xml:space="preserve"> dla WIG - nieruchomości,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19 września 2008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chemia,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2009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energia,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2010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górnictwo,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2016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odzież,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2016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– leki,</w:t>
      </w:r>
    </w:p>
    <w:p w:rsidR="00E97138" w:rsidRPr="00CE0814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31 grudnia 2016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motoryzacja.</w:t>
      </w:r>
    </w:p>
    <w:p w:rsidR="00DD4B7C" w:rsidRPr="00CE0814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Wartościami bazowymi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subindeksów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sektorowych indeksu WIG są: 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1 279.56 dla WIG – spożywczy,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1 279.56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banki</w:t>
      </w:r>
      <w:proofErr w:type="spellEnd"/>
      <w:r w:rsidRPr="00CE0814">
        <w:rPr>
          <w:rFonts w:ascii="Verdana" w:hAnsi="Verdana" w:cs="Arial"/>
          <w:sz w:val="20"/>
        </w:rPr>
        <w:t xml:space="preserve">, 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1 279.56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WIG- </w:t>
      </w:r>
      <w:proofErr w:type="spellStart"/>
      <w:r w:rsidRPr="00CE0814">
        <w:rPr>
          <w:rFonts w:ascii="Verdana" w:hAnsi="Verdana" w:cs="Arial"/>
          <w:sz w:val="20"/>
        </w:rPr>
        <w:t>budownictwo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1 279.56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telekomunikacja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1 279.56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informatyka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2 663.62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media,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3 560.08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paliwa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6 543.82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nieruchomości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3 836.10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chemia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bCs/>
          <w:sz w:val="20"/>
        </w:rPr>
        <w:t xml:space="preserve">3 998,60 </w:t>
      </w:r>
      <w:proofErr w:type="spellStart"/>
      <w:r w:rsidRPr="00CE0814">
        <w:rPr>
          <w:rFonts w:ascii="Verdana" w:hAnsi="Verdana" w:cs="Arial"/>
          <w:bCs/>
          <w:sz w:val="20"/>
        </w:rPr>
        <w:t>dla</w:t>
      </w:r>
      <w:proofErr w:type="spellEnd"/>
      <w:r w:rsidRPr="00CE0814">
        <w:rPr>
          <w:rFonts w:ascii="Verdana" w:hAnsi="Verdana" w:cs="Arial"/>
          <w:bCs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bCs/>
          <w:sz w:val="20"/>
        </w:rPr>
        <w:t>energia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</w:rPr>
        <w:t xml:space="preserve">4 748,99 </w:t>
      </w:r>
      <w:proofErr w:type="spellStart"/>
      <w:r w:rsidRPr="00CE0814">
        <w:rPr>
          <w:rFonts w:ascii="Verdana" w:hAnsi="Verdana" w:cs="Arial"/>
          <w:sz w:val="20"/>
        </w:rPr>
        <w:t>dla</w:t>
      </w:r>
      <w:proofErr w:type="spellEnd"/>
      <w:r w:rsidRPr="00CE0814">
        <w:rPr>
          <w:rFonts w:ascii="Verdana" w:hAnsi="Verdana" w:cs="Arial"/>
          <w:sz w:val="20"/>
        </w:rPr>
        <w:t xml:space="preserve"> WIG - </w:t>
      </w:r>
      <w:proofErr w:type="spellStart"/>
      <w:r w:rsidRPr="00CE0814">
        <w:rPr>
          <w:rFonts w:ascii="Verdana" w:hAnsi="Verdana" w:cs="Arial"/>
          <w:sz w:val="20"/>
        </w:rPr>
        <w:t>górnictwo</w:t>
      </w:r>
      <w:proofErr w:type="spellEnd"/>
      <w:r w:rsidRPr="00CE0814">
        <w:rPr>
          <w:rFonts w:ascii="Verdana" w:hAnsi="Verdana" w:cs="Arial"/>
          <w:sz w:val="20"/>
        </w:rPr>
        <w:t>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1/10 wartości indeksu WIG z 3</w:t>
      </w:r>
      <w:r w:rsidR="0056120F" w:rsidRPr="00CE0814">
        <w:rPr>
          <w:rFonts w:ascii="Verdana" w:hAnsi="Verdana" w:cs="Arial"/>
          <w:sz w:val="20"/>
          <w:lang w:val="pl-PL"/>
        </w:rPr>
        <w:t>0</w:t>
      </w:r>
      <w:r w:rsidRPr="00CE0814">
        <w:rPr>
          <w:rFonts w:ascii="Verdana" w:hAnsi="Verdana" w:cs="Arial"/>
          <w:sz w:val="20"/>
          <w:lang w:val="pl-PL"/>
        </w:rPr>
        <w:t xml:space="preserve"> grudnia 2016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odzież,</w:t>
      </w:r>
    </w:p>
    <w:p w:rsidR="00E97138" w:rsidRPr="00CE0814" w:rsidRDefault="0056120F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1/10 wartości indeksu WIG z 30</w:t>
      </w:r>
      <w:r w:rsidR="00E97138" w:rsidRPr="00CE0814">
        <w:rPr>
          <w:rFonts w:ascii="Verdana" w:hAnsi="Verdana" w:cs="Arial"/>
          <w:sz w:val="20"/>
          <w:lang w:val="pl-PL"/>
        </w:rPr>
        <w:t xml:space="preserve"> grudnia 2016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="00E97138" w:rsidRPr="00CE0814">
        <w:rPr>
          <w:rFonts w:ascii="Verdana" w:hAnsi="Verdana" w:cs="Arial"/>
          <w:sz w:val="20"/>
          <w:lang w:val="pl-PL"/>
        </w:rPr>
        <w:t xml:space="preserve"> dla WIG - leki,</w:t>
      </w:r>
    </w:p>
    <w:p w:rsidR="00E97138" w:rsidRPr="00CE0814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1/10 wartości indeksu WIG z 3</w:t>
      </w:r>
      <w:r w:rsidR="0056120F" w:rsidRPr="00CE0814">
        <w:rPr>
          <w:rFonts w:ascii="Verdana" w:hAnsi="Verdana" w:cs="Arial"/>
          <w:sz w:val="20"/>
          <w:lang w:val="pl-PL"/>
        </w:rPr>
        <w:t>0</w:t>
      </w:r>
      <w:r w:rsidRPr="00CE0814">
        <w:rPr>
          <w:rFonts w:ascii="Verdana" w:hAnsi="Verdana" w:cs="Arial"/>
          <w:sz w:val="20"/>
          <w:lang w:val="pl-PL"/>
        </w:rPr>
        <w:t xml:space="preserve"> grudnia 2016 r</w:t>
      </w:r>
      <w:r w:rsidR="00FD6383" w:rsidRPr="00CE0814">
        <w:rPr>
          <w:rFonts w:ascii="Verdana" w:hAnsi="Verdana" w:cs="Arial"/>
          <w:sz w:val="20"/>
          <w:lang w:val="pl-PL"/>
        </w:rPr>
        <w:t>.</w:t>
      </w:r>
      <w:r w:rsidRPr="00CE0814">
        <w:rPr>
          <w:rFonts w:ascii="Verdana" w:hAnsi="Verdana" w:cs="Arial"/>
          <w:sz w:val="20"/>
          <w:lang w:val="pl-PL"/>
        </w:rPr>
        <w:t xml:space="preserve"> dla WIG - motoryzacja.</w:t>
      </w:r>
    </w:p>
    <w:p w:rsidR="00832C5D" w:rsidRPr="00CE0814" w:rsidRDefault="00832C5D" w:rsidP="00832C5D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214"/>
        </w:tabs>
        <w:spacing w:line="360" w:lineRule="auto"/>
        <w:ind w:left="284" w:hanging="284"/>
        <w:jc w:val="both"/>
        <w:rPr>
          <w:rFonts w:ascii="Verdana" w:hAnsi="Verdana" w:cs="Arial"/>
          <w:sz w:val="20"/>
          <w:lang w:val="pl-PL"/>
        </w:rPr>
      </w:pPr>
      <w:proofErr w:type="spellStart"/>
      <w:r w:rsidRPr="00CE0814">
        <w:rPr>
          <w:rFonts w:ascii="Verdana" w:hAnsi="Verdana" w:cs="Arial"/>
          <w:sz w:val="20"/>
          <w:lang w:val="pl-PL"/>
        </w:rPr>
        <w:t>Subindeksy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sektorowe obliczane są z uwzględnianiem dochodów z akcji, w szczególności z tytułu dywidend oraz praw poboru (indeks dochodowy). W tym celu stosuje się współczynnik korygujący obliczany na podstawie następującego wzoru:</w:t>
      </w:r>
    </w:p>
    <w:p w:rsidR="0068637E" w:rsidRPr="00CE0814" w:rsidRDefault="0068637E" w:rsidP="0068637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214"/>
        </w:tabs>
        <w:spacing w:line="360" w:lineRule="auto"/>
        <w:jc w:val="both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</w:rPr>
        <w:t xml:space="preserve">             </w:t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  <w:lang w:val="de-DE"/>
        </w:rPr>
        <w:t>M(t’)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  <w:t>K(t+1)  =   ————— * K(t)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       </w:t>
      </w:r>
      <w:r w:rsidRPr="00CE0814">
        <w:rPr>
          <w:rFonts w:ascii="Verdana" w:hAnsi="Verdana" w:cs="Arial"/>
          <w:sz w:val="20"/>
          <w:lang w:val="de-DE"/>
        </w:rPr>
        <w:tab/>
      </w:r>
      <w:r w:rsidRPr="00CE0814">
        <w:rPr>
          <w:rFonts w:ascii="Verdana" w:hAnsi="Verdana" w:cs="Arial"/>
          <w:sz w:val="20"/>
          <w:lang w:val="de-DE"/>
        </w:rPr>
        <w:tab/>
        <w:t>M(t)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CE0814">
        <w:rPr>
          <w:rFonts w:ascii="Verdana" w:hAnsi="Verdana" w:cs="Arial"/>
          <w:sz w:val="20"/>
          <w:lang w:val="de-DE"/>
        </w:rPr>
        <w:tab/>
      </w:r>
      <w:proofErr w:type="spellStart"/>
      <w:r w:rsidRPr="00CE0814">
        <w:rPr>
          <w:rFonts w:ascii="Verdana" w:hAnsi="Verdana" w:cs="Arial"/>
          <w:sz w:val="20"/>
          <w:lang w:val="de-DE"/>
        </w:rPr>
        <w:t>oraz</w:t>
      </w:r>
      <w:proofErr w:type="spellEnd"/>
      <w:r w:rsidRPr="00CE0814">
        <w:rPr>
          <w:rFonts w:ascii="Verdana" w:hAnsi="Verdana" w:cs="Arial"/>
          <w:sz w:val="20"/>
          <w:lang w:val="de-DE"/>
        </w:rPr>
        <w:t xml:space="preserve"> :</w:t>
      </w:r>
      <w:r w:rsidRPr="00CE0814">
        <w:rPr>
          <w:rFonts w:ascii="Verdana" w:hAnsi="Verdana" w:cs="Arial"/>
          <w:sz w:val="20"/>
          <w:lang w:val="de-DE"/>
        </w:rPr>
        <w:tab/>
        <w:t>M(t’) = M(t) - D(t) - V(t) + Q(t)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</w:p>
    <w:p w:rsidR="0068637E" w:rsidRPr="00CE0814" w:rsidRDefault="0068637E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  <w:lang w:val="de-DE"/>
        </w:rPr>
        <w:tab/>
        <w:t xml:space="preserve"> </w:t>
      </w:r>
      <w:r w:rsidRPr="00CE0814">
        <w:rPr>
          <w:rFonts w:ascii="Verdana" w:hAnsi="Verdana" w:cs="Arial"/>
          <w:sz w:val="20"/>
          <w:lang w:val="de-DE"/>
        </w:rPr>
        <w:tab/>
        <w:t xml:space="preserve">                 </w:t>
      </w: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- 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  <w:t>gdzie :  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 =   ————————  * N(i)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</w:r>
      <w:r w:rsidRPr="00CE0814">
        <w:rPr>
          <w:rFonts w:ascii="Verdana" w:hAnsi="Verdana" w:cs="Arial"/>
          <w:sz w:val="20"/>
        </w:rPr>
        <w:tab/>
        <w:t xml:space="preserve">        S(i) + 1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</w:p>
    <w:p w:rsidR="00DD4B7C" w:rsidRPr="00CE0814" w:rsidRDefault="00DD4B7C" w:rsidP="00DD4B7C">
      <w:pPr>
        <w:pStyle w:val="Tekstpodstawowy"/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D(t) -  wartość dywidendy z akcji lub wartość teoretyczna dywidendy z akcji (obliczana przez Giełdę zgodnie ze Szczegółowymi Zasadami Obrotu Giełdowego</w:t>
      </w:r>
      <w:r w:rsidR="00731154" w:rsidRPr="00CE0814">
        <w:rPr>
          <w:rFonts w:ascii="Verdana" w:hAnsi="Verdana" w:cs="Arial"/>
          <w:sz w:val="20"/>
        </w:rPr>
        <w:t xml:space="preserve"> w systemie UTP</w:t>
      </w:r>
      <w:r w:rsidRPr="00CE0814">
        <w:rPr>
          <w:rFonts w:ascii="Verdana" w:hAnsi="Verdana" w:cs="Arial"/>
          <w:sz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dywidendy”; w</w:t>
      </w:r>
      <w:r w:rsidR="001E78C3" w:rsidRPr="00CE0814">
        <w:rPr>
          <w:rFonts w:ascii="Verdana" w:hAnsi="Verdana" w:cs="Arial"/>
          <w:sz w:val="20"/>
        </w:rPr>
        <w:t> </w:t>
      </w:r>
      <w:r w:rsidRPr="00CE0814">
        <w:rPr>
          <w:rFonts w:ascii="Verdana" w:hAnsi="Verdana" w:cs="Arial"/>
          <w:sz w:val="20"/>
        </w:rPr>
        <w:t>przypadku ustalenia dywidendy w walucie obcej, kwota dywidendy zostaje przeliczona na złote</w:t>
      </w:r>
    </w:p>
    <w:p w:rsidR="00DD4B7C" w:rsidRPr="00CE0814" w:rsidRDefault="00DD4B7C" w:rsidP="00DD4B7C">
      <w:pPr>
        <w:pStyle w:val="Tekstpodstawowy"/>
        <w:tabs>
          <w:tab w:val="left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V(t) -   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prawa poboru”</w:t>
      </w:r>
    </w:p>
    <w:p w:rsidR="00DD4B7C" w:rsidRPr="00CE0814" w:rsidRDefault="00DD4B7C" w:rsidP="00DD4B7C">
      <w:pPr>
        <w:pStyle w:val="Tekstpodstawowy"/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sz w:val="20"/>
          </w:rPr>
          <w:t>1”</w:t>
        </w:r>
      </w:smartTag>
      <w:r w:rsidRPr="00CE0814">
        <w:rPr>
          <w:rFonts w:ascii="Verdana" w:hAnsi="Verdana" w:cs="Arial"/>
          <w:sz w:val="20"/>
        </w:rPr>
        <w:t xml:space="preserve"> po raz pierwszy będą notowane „bez prawa poboru”; wartości teoretycznej V(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 nie oblicza się, jeśli cena emisyjna 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 jest wyższa od kursu akcji 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>).</w:t>
      </w:r>
    </w:p>
    <w:p w:rsidR="00DD4B7C" w:rsidRPr="00CE0814" w:rsidRDefault="00DD4B7C" w:rsidP="00DD4B7C">
      <w:pPr>
        <w:pStyle w:val="Tekstpodstawowy"/>
        <w:spacing w:line="360" w:lineRule="auto"/>
        <w:ind w:left="851" w:hanging="851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Q(t) -   wartość rynkowa akcji wprowadzanych (+), bądź wyłączanych (-) z portfela indeksu po sesji „t”; dotyczy to zarówno zwiększania pakietów akcji spółek wcześniej uczestniczących w indeksie, jak również akcji spółek jeszcze nie uczestniczących w indeksie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i,t</w:t>
      </w:r>
      <w:proofErr w:type="spellEnd"/>
      <w:r w:rsidRPr="00CE0814">
        <w:rPr>
          <w:rFonts w:ascii="Verdana" w:hAnsi="Verdana" w:cs="Arial"/>
          <w:sz w:val="20"/>
        </w:rPr>
        <w:t xml:space="preserve">) -   kurs akcji „i” na sesji „t” 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P(</w:t>
      </w:r>
      <w:proofErr w:type="spellStart"/>
      <w:r w:rsidRPr="00CE0814">
        <w:rPr>
          <w:rFonts w:ascii="Verdana" w:hAnsi="Verdana" w:cs="Arial"/>
          <w:sz w:val="20"/>
        </w:rPr>
        <w:t>i,em</w:t>
      </w:r>
      <w:proofErr w:type="spellEnd"/>
      <w:r w:rsidRPr="00CE0814">
        <w:rPr>
          <w:rFonts w:ascii="Verdana" w:hAnsi="Verdana" w:cs="Arial"/>
          <w:sz w:val="20"/>
        </w:rPr>
        <w:t>) - cena akcji nowej emisji z prawem poboru spółki „i”</w:t>
      </w:r>
    </w:p>
    <w:p w:rsidR="00DD4B7C" w:rsidRPr="00CE0814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S(i) -     liczba praw niezbędna do objęcia 1 akcji nowej emisji spółki „i”</w:t>
      </w:r>
    </w:p>
    <w:p w:rsidR="00DD4B7C" w:rsidRPr="00CE0814" w:rsidRDefault="00DD4B7C" w:rsidP="00DD4B7C">
      <w:pPr>
        <w:pStyle w:val="Tekstpodstawowy"/>
        <w:spacing w:after="120" w:line="360" w:lineRule="auto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>N(i) -     liczba akcji spółki „i” w portfelu indeksu.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967785" w:rsidRPr="00CE0814">
        <w:rPr>
          <w:rFonts w:ascii="Verdana" w:hAnsi="Verdana" w:cs="Arial"/>
          <w:sz w:val="20"/>
          <w:lang w:val="pl-PL"/>
        </w:rPr>
        <w:t>32</w:t>
      </w:r>
    </w:p>
    <w:p w:rsidR="00DD4B7C" w:rsidRPr="00CE0814" w:rsidRDefault="00DD4B7C" w:rsidP="00692C24">
      <w:pPr>
        <w:pStyle w:val="Tekstpodstawowy1"/>
        <w:numPr>
          <w:ilvl w:val="0"/>
          <w:numId w:val="1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Po sesji trzeciego piątku marca, czerwca, września i grudnia przeprowadzana jest rewizja kwartalna portfela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subindeksu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sektorowego, której celem jest wyznaczenie nowych pakietów akcji.</w:t>
      </w:r>
    </w:p>
    <w:p w:rsidR="00DD4B7C" w:rsidRPr="00CE0814" w:rsidRDefault="00DD4B7C" w:rsidP="00692C24">
      <w:pPr>
        <w:pStyle w:val="Tekstpodstawowy1"/>
        <w:numPr>
          <w:ilvl w:val="0"/>
          <w:numId w:val="1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Pakiety akcji wchodzące w skład portfela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subindeksu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sektorowego równe są pakietom akcji wchodzącym w skład portfela indeksu WIG.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967785" w:rsidRPr="00CE0814">
        <w:rPr>
          <w:rFonts w:ascii="Verdana" w:hAnsi="Verdana" w:cs="Arial"/>
          <w:sz w:val="20"/>
          <w:lang w:val="pl-PL"/>
        </w:rPr>
        <w:t>33</w:t>
      </w:r>
    </w:p>
    <w:p w:rsidR="00DD4B7C" w:rsidRPr="00CE0814" w:rsidRDefault="00DD4B7C" w:rsidP="00DD4B7C">
      <w:pPr>
        <w:pStyle w:val="Tekstpodstawowy"/>
        <w:tabs>
          <w:tab w:val="clear" w:pos="720"/>
        </w:tabs>
        <w:spacing w:after="120" w:line="360" w:lineRule="auto"/>
        <w:rPr>
          <w:rFonts w:ascii="Verdana" w:hAnsi="Verdana" w:cs="Arial"/>
          <w:color w:val="auto"/>
          <w:sz w:val="20"/>
        </w:rPr>
      </w:pPr>
      <w:r w:rsidRPr="00CE0814">
        <w:rPr>
          <w:rFonts w:ascii="Verdana" w:hAnsi="Verdana" w:cs="Arial"/>
          <w:sz w:val="20"/>
        </w:rPr>
        <w:t xml:space="preserve">W szczególnych przypadkach może zostać przeprowadzona nadzwyczajna korekta uczestników </w:t>
      </w:r>
      <w:proofErr w:type="spellStart"/>
      <w:r w:rsidRPr="00CE0814">
        <w:rPr>
          <w:rFonts w:ascii="Verdana" w:hAnsi="Verdana" w:cs="Arial"/>
          <w:sz w:val="20"/>
        </w:rPr>
        <w:t>subindeksu</w:t>
      </w:r>
      <w:proofErr w:type="spellEnd"/>
      <w:r w:rsidRPr="00CE0814">
        <w:rPr>
          <w:rFonts w:ascii="Verdana" w:hAnsi="Verdana" w:cs="Arial"/>
          <w:sz w:val="20"/>
        </w:rPr>
        <w:t xml:space="preserve"> w celu skreślenia spółki z listy uczestników </w:t>
      </w:r>
      <w:proofErr w:type="spellStart"/>
      <w:r w:rsidRPr="00CE0814">
        <w:rPr>
          <w:rFonts w:ascii="Verdana" w:hAnsi="Verdana" w:cs="Arial"/>
          <w:sz w:val="20"/>
        </w:rPr>
        <w:t>subindeksu</w:t>
      </w:r>
      <w:proofErr w:type="spellEnd"/>
      <w:r w:rsidRPr="00CE0814">
        <w:rPr>
          <w:rFonts w:ascii="Verdana" w:hAnsi="Verdana" w:cs="Arial"/>
          <w:sz w:val="20"/>
        </w:rPr>
        <w:t>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§ 3</w:t>
      </w:r>
      <w:r w:rsidR="00967785" w:rsidRPr="00CE0814">
        <w:rPr>
          <w:rFonts w:ascii="Verdana" w:hAnsi="Verdana" w:cs="Arial"/>
          <w:sz w:val="20"/>
          <w:lang w:val="pl-PL"/>
        </w:rPr>
        <w:t>4</w:t>
      </w:r>
    </w:p>
    <w:p w:rsidR="00DD4B7C" w:rsidRPr="00CE0814" w:rsidRDefault="00DD4B7C" w:rsidP="00692C24">
      <w:pPr>
        <w:pStyle w:val="Tekstpodstawowy1"/>
        <w:numPr>
          <w:ilvl w:val="0"/>
          <w:numId w:val="1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Nadzwyczajna korekta uczestników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subindeksu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sektorowego może zostać przeprowadzona w przypadku pierwszego wprowadzenia spółki (debiutu) </w:t>
      </w:r>
      <w:r w:rsidR="00BE6F9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do obrotu giełdowego.</w:t>
      </w:r>
    </w:p>
    <w:p w:rsidR="00DD4B7C" w:rsidRPr="00CE0814" w:rsidRDefault="00DD4B7C" w:rsidP="00692C24">
      <w:pPr>
        <w:pStyle w:val="Tekstpodstawowy1"/>
        <w:numPr>
          <w:ilvl w:val="0"/>
          <w:numId w:val="16"/>
        </w:numPr>
        <w:tabs>
          <w:tab w:val="clear" w:pos="720"/>
          <w:tab w:val="num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Akcje spółki debiutującej wpisywane są na listę uczestników indeksu po trzech sesjach od debiutu.</w:t>
      </w:r>
    </w:p>
    <w:p w:rsidR="00DD4B7C" w:rsidRPr="00CE0814" w:rsidRDefault="00DD4B7C" w:rsidP="00692C24">
      <w:pPr>
        <w:pStyle w:val="Tekstpodstawowy1"/>
        <w:numPr>
          <w:ilvl w:val="0"/>
          <w:numId w:val="1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Wielkość pakietu akcji spółki debiutującej w portfelu </w:t>
      </w:r>
      <w:proofErr w:type="spellStart"/>
      <w:r w:rsidRPr="00CE0814">
        <w:rPr>
          <w:rFonts w:ascii="Verdana" w:hAnsi="Verdana" w:cs="Arial"/>
          <w:sz w:val="20"/>
          <w:lang w:val="pl-PL"/>
        </w:rPr>
        <w:t>subindeksu</w:t>
      </w:r>
      <w:proofErr w:type="spellEnd"/>
      <w:r w:rsidRPr="00CE0814">
        <w:rPr>
          <w:rFonts w:ascii="Verdana" w:hAnsi="Verdana" w:cs="Arial"/>
          <w:sz w:val="20"/>
          <w:lang w:val="pl-PL"/>
        </w:rPr>
        <w:t xml:space="preserve"> sektorowego wyznaczana jest zgodnie z zasadami rewizji kwartalnej portfela indeksu WIG.</w:t>
      </w:r>
    </w:p>
    <w:p w:rsidR="00DD4B7C" w:rsidRPr="00CE0814" w:rsidRDefault="00656D61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br/>
      </w:r>
      <w:r w:rsidRPr="00CE0814">
        <w:rPr>
          <w:rFonts w:ascii="Verdana" w:hAnsi="Verdana" w:cs="Arial"/>
          <w:sz w:val="20"/>
          <w:szCs w:val="20"/>
        </w:rPr>
        <w:br/>
      </w:r>
      <w:r w:rsidR="00456A12" w:rsidRPr="00CE0814">
        <w:rPr>
          <w:rFonts w:ascii="Verdana" w:hAnsi="Verdana" w:cs="Arial"/>
          <w:sz w:val="20"/>
          <w:szCs w:val="20"/>
        </w:rPr>
        <w:t>ROZDZIAŁ</w:t>
      </w:r>
      <w:r w:rsidR="00DD4B7C" w:rsidRPr="00CE0814">
        <w:rPr>
          <w:rFonts w:ascii="Verdana" w:hAnsi="Verdana" w:cs="Arial"/>
          <w:sz w:val="20"/>
          <w:szCs w:val="20"/>
        </w:rPr>
        <w:t xml:space="preserve"> IV</w:t>
      </w:r>
    </w:p>
    <w:p w:rsidR="00DD4B7C" w:rsidRPr="00CE0814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Szczegółowe zasady konstrukcji, obliczania i publikacji indeksu WIG20short</w:t>
      </w:r>
    </w:p>
    <w:p w:rsidR="00DD4B7C" w:rsidRPr="00CE0814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CE0814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3</w:t>
      </w:r>
      <w:r w:rsidR="00967785" w:rsidRPr="00CE0814">
        <w:rPr>
          <w:rFonts w:ascii="Verdana" w:hAnsi="Verdana" w:cs="Arial"/>
          <w:sz w:val="20"/>
          <w:szCs w:val="20"/>
        </w:rPr>
        <w:t>5</w:t>
      </w:r>
    </w:p>
    <w:p w:rsidR="00DD4B7C" w:rsidRPr="00CE0814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Indeks WIG20short jest indeksem odwrotnym do indeksu WIG20, w obliczaniu którego uwzględniane są wartości indeksu WIG20 oraz stawka referencyjna POLONIA dla operacji 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Overnight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 xml:space="preserve"> (O/N) przeprowadzanych na rynku pieniężnym.</w:t>
      </w:r>
    </w:p>
    <w:p w:rsidR="00DD4B7C" w:rsidRPr="00CE0814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Datą bazową indeksu jest 31 grudnia 2005 roku.</w:t>
      </w:r>
    </w:p>
    <w:p w:rsidR="00DD4B7C" w:rsidRPr="00CE0814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Wartość indeksu w dniu bazowym wynosi 2 654,95 punktów.</w:t>
      </w:r>
    </w:p>
    <w:p w:rsidR="00DD4B7C" w:rsidRPr="00CE0814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Indeks WIG20short jest obliczany na podstawie następującego wzoru: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/>
          <w:bCs/>
          <w:position w:val="-32"/>
          <w:sz w:val="20"/>
          <w:szCs w:val="20"/>
        </w:rPr>
        <w:object w:dxaOrig="7720" w:dyaOrig="760" w14:anchorId="7475B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37.5pt" o:ole="">
            <v:imagedata r:id="rId8" o:title=""/>
          </v:shape>
          <o:OLEObject Type="Embed" ProgID="Equation.3" ShapeID="_x0000_i1025" DrawAspect="Content" ObjectID="_1612705633" r:id="rId9"/>
        </w:objec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DD4B7C" w:rsidRPr="00CE0814" w:rsidRDefault="00DD4B7C" w:rsidP="00DD4B7C">
      <w:pPr>
        <w:tabs>
          <w:tab w:val="right" w:pos="1701"/>
        </w:tabs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WIG20short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bieżąca wartość indeksu WIG20short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WIG20short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ostatnia wartość zamknięcia indeksu WIG20short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bieżąca wartość indeksu WIG20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ostatnia wartość zamknięcia indeksu WIG20</w:t>
      </w:r>
    </w:p>
    <w:p w:rsidR="00DD4B7C" w:rsidRPr="00CE0814" w:rsidRDefault="00DD4B7C" w:rsidP="00DD4B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R –</w:t>
      </w:r>
      <w:r w:rsidRPr="00CE0814">
        <w:rPr>
          <w:rFonts w:ascii="Verdana" w:hAnsi="Verdana"/>
          <w:bCs/>
          <w:sz w:val="20"/>
          <w:szCs w:val="20"/>
        </w:rPr>
        <w:t xml:space="preserve"> </w:t>
      </w:r>
      <w:r w:rsidRPr="00CE0814">
        <w:rPr>
          <w:rFonts w:ascii="Verdana" w:hAnsi="Verdana" w:cs="Arial"/>
          <w:bCs/>
          <w:sz w:val="20"/>
          <w:szCs w:val="20"/>
        </w:rPr>
        <w:t xml:space="preserve">stawka procentowa denominowanych w PLN depozytów </w:t>
      </w:r>
      <w:proofErr w:type="spellStart"/>
      <w:r w:rsidRPr="00CE0814">
        <w:rPr>
          <w:rFonts w:ascii="Verdana" w:hAnsi="Verdana" w:cs="Arial"/>
          <w:bCs/>
          <w:sz w:val="20"/>
          <w:szCs w:val="20"/>
        </w:rPr>
        <w:t>Overnight</w:t>
      </w:r>
      <w:proofErr w:type="spellEnd"/>
      <w:r w:rsidRPr="00CE0814">
        <w:rPr>
          <w:rFonts w:ascii="Verdana" w:hAnsi="Verdana" w:cs="Arial"/>
          <w:bCs/>
          <w:sz w:val="20"/>
          <w:szCs w:val="20"/>
        </w:rPr>
        <w:t xml:space="preserve"> ustalana zgodnie z Regulaminem </w:t>
      </w:r>
      <w:proofErr w:type="spellStart"/>
      <w:r w:rsidRPr="00CE0814">
        <w:rPr>
          <w:rFonts w:ascii="Verdana" w:hAnsi="Verdana" w:cs="Arial"/>
          <w:bCs/>
          <w:sz w:val="20"/>
          <w:szCs w:val="20"/>
        </w:rPr>
        <w:t>Fixingu</w:t>
      </w:r>
      <w:proofErr w:type="spellEnd"/>
      <w:r w:rsidRPr="00CE0814">
        <w:rPr>
          <w:rFonts w:ascii="Verdana" w:hAnsi="Verdana" w:cs="Arial"/>
          <w:bCs/>
          <w:sz w:val="20"/>
          <w:szCs w:val="20"/>
        </w:rPr>
        <w:t xml:space="preserve"> Stawki Referencyjnej "POLONIA" uchwalanym przez Zarząd ACI Polska - Stowarzyszenie Rynków Finansowych</w:t>
      </w:r>
    </w:p>
    <w:p w:rsidR="00DD4B7C" w:rsidRPr="00CE0814" w:rsidRDefault="00DD4B7C" w:rsidP="00DD4B7C">
      <w:pPr>
        <w:spacing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d – liczba dni kalendarzowych pomiędzy dniem t i T.</w:t>
      </w:r>
    </w:p>
    <w:p w:rsidR="00DD4B7C" w:rsidRPr="00CE0814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3</w:t>
      </w:r>
      <w:r w:rsidR="00967785" w:rsidRPr="00CE0814">
        <w:rPr>
          <w:rFonts w:ascii="Verdana" w:hAnsi="Verdana" w:cs="Arial"/>
          <w:sz w:val="20"/>
          <w:szCs w:val="20"/>
        </w:rPr>
        <w:t>6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Wartości indeksu WIG20short są publikowane zgodnie z harmonogramem indeksu WIG20.</w:t>
      </w:r>
    </w:p>
    <w:p w:rsidR="000C7D1A" w:rsidRPr="00CE0814" w:rsidRDefault="000C7D1A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CE0814" w:rsidRDefault="00456A12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ROZDZIAŁ</w:t>
      </w:r>
      <w:r w:rsidR="00DD4B7C" w:rsidRPr="00CE0814">
        <w:rPr>
          <w:rFonts w:ascii="Verdana" w:hAnsi="Verdana" w:cs="Arial"/>
          <w:sz w:val="20"/>
          <w:szCs w:val="20"/>
        </w:rPr>
        <w:t xml:space="preserve"> V</w:t>
      </w:r>
    </w:p>
    <w:p w:rsidR="00DD4B7C" w:rsidRPr="00CE0814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Szczegółowe zasady konstrukcji, obliczania i publikacji indeksu WIG20lev</w:t>
      </w:r>
    </w:p>
    <w:p w:rsidR="00DD4B7C" w:rsidRPr="00CE0814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CE0814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§ </w:t>
      </w:r>
      <w:r w:rsidR="00CD5394" w:rsidRPr="00CE0814">
        <w:rPr>
          <w:rFonts w:ascii="Verdana" w:hAnsi="Verdana" w:cs="Arial"/>
          <w:sz w:val="20"/>
          <w:szCs w:val="20"/>
        </w:rPr>
        <w:t>3</w:t>
      </w:r>
      <w:r w:rsidR="00967785" w:rsidRPr="00CE0814">
        <w:rPr>
          <w:rFonts w:ascii="Verdana" w:hAnsi="Verdana" w:cs="Arial"/>
          <w:sz w:val="20"/>
          <w:szCs w:val="20"/>
        </w:rPr>
        <w:t>7</w:t>
      </w:r>
    </w:p>
    <w:p w:rsidR="00DD4B7C" w:rsidRPr="00CE0814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Indeks WIG20lev jest indeksem stanowiącym dźwignię do indeksu WIG20, w obliczaniu którego uwzględniane są wartości indeksu WIG20 oraz stawka referencyjna POLONIA dla operacji </w:t>
      </w:r>
      <w:proofErr w:type="spellStart"/>
      <w:r w:rsidRPr="00CE0814">
        <w:rPr>
          <w:rFonts w:ascii="Verdana" w:hAnsi="Verdana" w:cs="Arial"/>
          <w:sz w:val="20"/>
          <w:szCs w:val="20"/>
        </w:rPr>
        <w:t>Overnight</w:t>
      </w:r>
      <w:proofErr w:type="spellEnd"/>
      <w:r w:rsidRPr="00CE0814">
        <w:rPr>
          <w:rFonts w:ascii="Verdana" w:hAnsi="Verdana" w:cs="Arial"/>
          <w:sz w:val="20"/>
          <w:szCs w:val="20"/>
        </w:rPr>
        <w:t xml:space="preserve"> (O/N) przeprowadzanych na rynku pieniężnym.</w:t>
      </w:r>
    </w:p>
    <w:p w:rsidR="00DD4B7C" w:rsidRPr="00CE0814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Datą bazową indeksu jest 31 grudnia 2005 roku.</w:t>
      </w:r>
    </w:p>
    <w:p w:rsidR="00DD4B7C" w:rsidRPr="00CE0814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Wartość indeksu w dniu bazowym wynosi 2 654,95 punktów.</w:t>
      </w:r>
    </w:p>
    <w:p w:rsidR="00DD4B7C" w:rsidRPr="00CE0814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Indeks WIG20lev jest obliczany na podstawie następującego wzoru: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D4B7C" w:rsidRPr="00CE0814" w:rsidRDefault="00DD4B7C" w:rsidP="00DD4B7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CE0814">
        <w:rPr>
          <w:rFonts w:ascii="Verdana" w:hAnsi="Verdana"/>
          <w:bCs/>
          <w:position w:val="-32"/>
          <w:sz w:val="20"/>
          <w:szCs w:val="20"/>
        </w:rPr>
        <w:object w:dxaOrig="6580" w:dyaOrig="760" w14:anchorId="6330F1C8">
          <v:shape id="_x0000_i1026" type="#_x0000_t75" style="width:330pt;height:37.5pt" o:ole="">
            <v:imagedata r:id="rId10" o:title=""/>
          </v:shape>
          <o:OLEObject Type="Embed" ProgID="Equation.3" ShapeID="_x0000_i1026" DrawAspect="Content" ObjectID="_1612705634" r:id="rId11"/>
        </w:objec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WIG20lev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bieżąca wartość indeksu WIG20lev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WIG20lev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ostatnia wartość zamknięcia indeksu WIG20lev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bieżąca wartość indeksu WIG20</w:t>
      </w:r>
    </w:p>
    <w:p w:rsidR="00DD4B7C" w:rsidRPr="00CE0814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WIG20</w:t>
      </w:r>
      <w:r w:rsidRPr="00CE0814">
        <w:rPr>
          <w:rFonts w:ascii="Verdana" w:hAnsi="Verdana" w:cs="Arial"/>
          <w:sz w:val="20"/>
          <w:szCs w:val="20"/>
          <w:vertAlign w:val="subscript"/>
        </w:rPr>
        <w:t>T</w:t>
      </w:r>
      <w:r w:rsidRPr="00CE0814">
        <w:rPr>
          <w:rFonts w:ascii="Verdana" w:hAnsi="Verdana" w:cs="Arial"/>
          <w:bCs/>
          <w:sz w:val="20"/>
          <w:szCs w:val="20"/>
        </w:rPr>
        <w:t xml:space="preserve"> – ostatnia wartość zamknięcia indeksu WIG20</w:t>
      </w:r>
    </w:p>
    <w:p w:rsidR="00DD4B7C" w:rsidRPr="00CE0814" w:rsidRDefault="00DD4B7C" w:rsidP="00DD4B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 xml:space="preserve">R – stawka procentowa denominowanych w PLN depozytów </w:t>
      </w:r>
      <w:proofErr w:type="spellStart"/>
      <w:r w:rsidRPr="00CE0814">
        <w:rPr>
          <w:rFonts w:ascii="Verdana" w:hAnsi="Verdana" w:cs="Arial"/>
          <w:bCs/>
          <w:sz w:val="20"/>
          <w:szCs w:val="20"/>
        </w:rPr>
        <w:t>Overnight</w:t>
      </w:r>
      <w:proofErr w:type="spellEnd"/>
      <w:r w:rsidRPr="00CE0814">
        <w:rPr>
          <w:rFonts w:ascii="Verdana" w:hAnsi="Verdana" w:cs="Arial"/>
          <w:bCs/>
          <w:sz w:val="20"/>
          <w:szCs w:val="20"/>
        </w:rPr>
        <w:t xml:space="preserve"> ustalana zgodnie z Regulaminem </w:t>
      </w:r>
      <w:proofErr w:type="spellStart"/>
      <w:r w:rsidRPr="00CE0814">
        <w:rPr>
          <w:rFonts w:ascii="Verdana" w:hAnsi="Verdana" w:cs="Arial"/>
          <w:bCs/>
          <w:sz w:val="20"/>
          <w:szCs w:val="20"/>
        </w:rPr>
        <w:t>Fixingu</w:t>
      </w:r>
      <w:proofErr w:type="spellEnd"/>
      <w:r w:rsidRPr="00CE0814">
        <w:rPr>
          <w:rFonts w:ascii="Verdana" w:hAnsi="Verdana" w:cs="Arial"/>
          <w:bCs/>
          <w:sz w:val="20"/>
          <w:szCs w:val="20"/>
        </w:rPr>
        <w:t xml:space="preserve"> Stawki Referencyjnej "POLONIA" uchwalanym przez Zarząd ACI Polska - Stowarzyszenie Rynków Finansowych</w:t>
      </w:r>
      <w:r w:rsidRPr="00CE0814" w:rsidDel="004838E9">
        <w:rPr>
          <w:rFonts w:ascii="Verdana" w:hAnsi="Verdana" w:cs="Arial"/>
          <w:bCs/>
          <w:sz w:val="20"/>
          <w:szCs w:val="20"/>
        </w:rPr>
        <w:t xml:space="preserve"> </w:t>
      </w:r>
    </w:p>
    <w:p w:rsidR="00DD4B7C" w:rsidRPr="00CE0814" w:rsidRDefault="00DD4B7C" w:rsidP="00DD4B7C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E0814">
        <w:rPr>
          <w:rFonts w:ascii="Verdana" w:hAnsi="Verdana" w:cs="Arial"/>
          <w:bCs/>
          <w:sz w:val="20"/>
          <w:szCs w:val="20"/>
        </w:rPr>
        <w:t>d – liczba dni kalendarzowych pomiędzy dniem t i T.</w:t>
      </w:r>
    </w:p>
    <w:p w:rsidR="000C7D1A" w:rsidRPr="00CE0814" w:rsidRDefault="000C7D1A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0C7D1A" w:rsidRPr="00CE0814" w:rsidRDefault="000C7D1A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CE0814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§ </w:t>
      </w:r>
      <w:r w:rsidR="00CD5394" w:rsidRPr="00CE0814">
        <w:rPr>
          <w:rFonts w:ascii="Verdana" w:hAnsi="Verdana" w:cs="Arial"/>
          <w:sz w:val="20"/>
          <w:szCs w:val="20"/>
        </w:rPr>
        <w:t>3</w:t>
      </w:r>
      <w:r w:rsidR="00967785" w:rsidRPr="00CE0814">
        <w:rPr>
          <w:rFonts w:ascii="Verdana" w:hAnsi="Verdana" w:cs="Arial"/>
          <w:sz w:val="20"/>
          <w:szCs w:val="20"/>
        </w:rPr>
        <w:t>8</w:t>
      </w:r>
    </w:p>
    <w:p w:rsidR="00DD4B7C" w:rsidRPr="00CE0814" w:rsidRDefault="00DD4B7C" w:rsidP="00DD4B7C">
      <w:pPr>
        <w:spacing w:line="360" w:lineRule="auto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Wartości indeksu WIG20lev są publikowane zgodnie z harmonogramem indeksu WIG20.</w:t>
      </w:r>
    </w:p>
    <w:p w:rsidR="00FB3007" w:rsidRPr="00CE0814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FB3007" w:rsidRPr="00CE0814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EE1F05" w:rsidRPr="00CE0814" w:rsidRDefault="00456A12" w:rsidP="00EE1F0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ROZDZIAŁ</w:t>
      </w:r>
      <w:r w:rsidR="00FB3007" w:rsidRPr="00CE081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3007" w:rsidRPr="00CE0814">
        <w:rPr>
          <w:rFonts w:ascii="Verdana" w:hAnsi="Verdana" w:cs="Arial"/>
          <w:sz w:val="20"/>
          <w:szCs w:val="20"/>
        </w:rPr>
        <w:t>Va</w:t>
      </w:r>
      <w:proofErr w:type="spellEnd"/>
    </w:p>
    <w:p w:rsidR="00FB3007" w:rsidRPr="00CE0814" w:rsidRDefault="00FB3007" w:rsidP="00EE1F05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Szczegółowe zasady konstrukcji, obliczania i publikacji indeksu WIG20dvp</w:t>
      </w:r>
    </w:p>
    <w:p w:rsidR="00FB3007" w:rsidRPr="00CE0814" w:rsidRDefault="00FB3007" w:rsidP="00FB3007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FB3007" w:rsidRPr="00CE0814" w:rsidRDefault="00FB3007" w:rsidP="00EF60A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38a</w:t>
      </w:r>
    </w:p>
    <w:p w:rsidR="009F21E0" w:rsidRPr="00CE0814" w:rsidRDefault="009F21E0" w:rsidP="00EF60AC">
      <w:pPr>
        <w:pStyle w:val="Akapitzlist"/>
        <w:numPr>
          <w:ilvl w:val="0"/>
          <w:numId w:val="60"/>
        </w:num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WIG20dvp jest obliczany na podstawie dochodów z akcji z tytułu dywidend pieniężnych wypłacanych przez spółki wchodzące w skład indeksu WIG20, w tym:</w:t>
      </w:r>
    </w:p>
    <w:p w:rsidR="009F21E0" w:rsidRPr="00CE0814" w:rsidRDefault="009F21E0" w:rsidP="00EF60AC">
      <w:pPr>
        <w:pStyle w:val="Akapitzlist"/>
        <w:numPr>
          <w:ilvl w:val="0"/>
          <w:numId w:val="61"/>
        </w:numPr>
        <w:spacing w:after="120" w:line="360" w:lineRule="auto"/>
        <w:ind w:left="709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zaliczek pieniężnych na poczet przewidywanej dywidendy,</w:t>
      </w:r>
    </w:p>
    <w:p w:rsidR="009F21E0" w:rsidRPr="00CE0814" w:rsidRDefault="009F21E0" w:rsidP="00EF60AC">
      <w:pPr>
        <w:pStyle w:val="Akapitzlist"/>
        <w:numPr>
          <w:ilvl w:val="0"/>
          <w:numId w:val="61"/>
        </w:numPr>
        <w:spacing w:after="120" w:line="360" w:lineRule="auto"/>
        <w:ind w:left="709" w:hanging="357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dywidend, których wypłata uzależniona jest od zdarzenia przyszłego </w:t>
      </w:r>
      <w:r w:rsidR="00EF60AC"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 xml:space="preserve">i niepewnego, </w:t>
      </w:r>
      <w:r w:rsidR="00EF60AC" w:rsidRPr="00CE0814">
        <w:rPr>
          <w:rFonts w:ascii="Verdana" w:hAnsi="Verdana" w:cs="Consolas"/>
          <w:sz w:val="20"/>
          <w:szCs w:val="20"/>
        </w:rPr>
        <w:t xml:space="preserve">jednak </w:t>
      </w:r>
      <w:r w:rsidRPr="00CE0814">
        <w:rPr>
          <w:rFonts w:ascii="Verdana" w:hAnsi="Verdana" w:cs="Consolas"/>
          <w:sz w:val="20"/>
          <w:szCs w:val="20"/>
        </w:rPr>
        <w:t>wyłącznie w przypadku jeżeli dzień sesyjny</w:t>
      </w:r>
      <w:r w:rsidR="00EF60AC" w:rsidRPr="00CE0814">
        <w:rPr>
          <w:rFonts w:ascii="Verdana" w:hAnsi="Verdana" w:cs="Consolas"/>
          <w:sz w:val="20"/>
          <w:szCs w:val="20"/>
        </w:rPr>
        <w:t>,</w:t>
      </w:r>
      <w:r w:rsidRPr="00CE0814">
        <w:rPr>
          <w:rFonts w:ascii="Verdana" w:hAnsi="Verdana" w:cs="Consolas"/>
          <w:sz w:val="20"/>
          <w:szCs w:val="20"/>
        </w:rPr>
        <w:t xml:space="preserve"> w którym akcje będą notowane z oznaczeniem „bez dywidendy”</w:t>
      </w:r>
      <w:r w:rsidR="00EF60AC" w:rsidRPr="00CE0814">
        <w:rPr>
          <w:rFonts w:ascii="Verdana" w:hAnsi="Verdana" w:cs="Consolas"/>
          <w:sz w:val="20"/>
          <w:szCs w:val="20"/>
        </w:rPr>
        <w:t>,</w:t>
      </w:r>
      <w:r w:rsidRPr="00CE0814">
        <w:rPr>
          <w:rFonts w:ascii="Verdana" w:hAnsi="Verdana" w:cs="Consolas"/>
          <w:sz w:val="20"/>
          <w:szCs w:val="20"/>
        </w:rPr>
        <w:t xml:space="preserve"> będzie przypadał po dniu ziszczenia się warunków wypłaty </w:t>
      </w:r>
      <w:r w:rsidR="00EF60AC" w:rsidRPr="00CE0814">
        <w:rPr>
          <w:rFonts w:ascii="Verdana" w:hAnsi="Verdana" w:cs="Consolas"/>
          <w:sz w:val="20"/>
          <w:szCs w:val="20"/>
        </w:rPr>
        <w:t xml:space="preserve">takiej </w:t>
      </w:r>
      <w:r w:rsidRPr="00CE0814">
        <w:rPr>
          <w:rFonts w:ascii="Verdana" w:hAnsi="Verdana" w:cs="Consolas"/>
          <w:sz w:val="20"/>
          <w:szCs w:val="20"/>
        </w:rPr>
        <w:t>dyw</w:t>
      </w:r>
      <w:r w:rsidR="00EF60AC" w:rsidRPr="00CE0814">
        <w:rPr>
          <w:rFonts w:ascii="Verdana" w:hAnsi="Verdana" w:cs="Consolas"/>
          <w:sz w:val="20"/>
          <w:szCs w:val="20"/>
        </w:rPr>
        <w:t>idendy</w:t>
      </w:r>
      <w:r w:rsidRPr="00CE0814">
        <w:rPr>
          <w:rFonts w:ascii="Verdana" w:hAnsi="Verdana" w:cs="Consolas"/>
          <w:sz w:val="20"/>
          <w:szCs w:val="20"/>
        </w:rPr>
        <w:t xml:space="preserve">. </w:t>
      </w:r>
    </w:p>
    <w:p w:rsidR="009F21E0" w:rsidRPr="00CE0814" w:rsidRDefault="009F21E0" w:rsidP="00EF60AC">
      <w:pPr>
        <w:pStyle w:val="Akapitzlist"/>
        <w:numPr>
          <w:ilvl w:val="0"/>
          <w:numId w:val="60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Do obliczeń stosuje się pakiety akcji poszczególnych spółek wchodzących w skład indeksu WIG20 określone dla portfela indeksu WIG20.</w:t>
      </w:r>
    </w:p>
    <w:p w:rsidR="009F21E0" w:rsidRPr="00CE0814" w:rsidRDefault="009F21E0" w:rsidP="00EF60AC">
      <w:pPr>
        <w:pStyle w:val="Akapitzlist"/>
        <w:numPr>
          <w:ilvl w:val="0"/>
          <w:numId w:val="60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Datą bazową indeksu jest 2 stycznia 2007 r.</w:t>
      </w:r>
    </w:p>
    <w:p w:rsidR="009F21E0" w:rsidRPr="00CE0814" w:rsidRDefault="009F21E0" w:rsidP="009F21E0">
      <w:pPr>
        <w:pStyle w:val="Akapitzlist"/>
        <w:numPr>
          <w:ilvl w:val="0"/>
          <w:numId w:val="60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jest obliczany na podstawie następujących wzorów:</w:t>
      </w:r>
    </w:p>
    <w:p w:rsidR="009F21E0" w:rsidRPr="00CE0814" w:rsidRDefault="009F21E0" w:rsidP="009F21E0">
      <w:pPr>
        <w:pStyle w:val="Akapitzlist"/>
        <w:numPr>
          <w:ilvl w:val="1"/>
          <w:numId w:val="61"/>
        </w:num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 pierwszym dniu sesyjnym przypadającym po trzecim piątku grudnia każdego roku kalendarzowego: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5D2259" w:rsidRPr="00CE0814" w:rsidTr="005D2259">
        <w:tc>
          <w:tcPr>
            <w:tcW w:w="1560" w:type="dxa"/>
          </w:tcPr>
          <w:p w:rsidR="005D2259" w:rsidRPr="00CE0814" w:rsidRDefault="005D2259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CE0814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372" w:type="dxa"/>
          </w:tcPr>
          <w:p w:rsidR="005D2259" w:rsidRPr="00CE0814" w:rsidRDefault="005D2259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CE0814" w:rsidRDefault="00157069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WIG20</w:t>
            </w:r>
            <w:r w:rsidR="009F21E0" w:rsidRPr="00CE0814">
              <w:rPr>
                <w:rFonts w:ascii="Verdana" w:hAnsi="Verdana" w:cs="Consolas"/>
                <w:sz w:val="20"/>
                <w:szCs w:val="20"/>
              </w:rPr>
              <w:t>dvp (d) = 0</w:t>
            </w:r>
          </w:p>
        </w:tc>
      </w:tr>
      <w:tr w:rsidR="005D2259" w:rsidRPr="00CE0814" w:rsidTr="005D2259">
        <w:tc>
          <w:tcPr>
            <w:tcW w:w="1560" w:type="dxa"/>
          </w:tcPr>
          <w:p w:rsidR="009F21E0" w:rsidRPr="00CE0814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CE0814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9F21E0" w:rsidRPr="00CE0814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372" w:type="dxa"/>
          </w:tcPr>
          <w:p w:rsidR="005D2259" w:rsidRPr="00CE0814" w:rsidRDefault="009F21E0" w:rsidP="009F21E0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    </w:t>
            </w:r>
          </w:p>
          <w:p w:rsidR="009F21E0" w:rsidRPr="00CE0814" w:rsidRDefault="005D2259" w:rsidP="009F21E0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</w:t>
            </w:r>
            <w:r w:rsidR="009F21E0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P(t) x D(t)</w:t>
            </w:r>
          </w:p>
          <w:p w:rsidR="009F21E0" w:rsidRPr="00CE0814" w:rsidRDefault="00157069" w:rsidP="009F21E0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WIG20</w:t>
            </w:r>
            <w:r w:rsidR="009F21E0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(d) = ----------------------- x 1000</w:t>
            </w:r>
          </w:p>
          <w:p w:rsidR="009F21E0" w:rsidRPr="00CE0814" w:rsidRDefault="009F21E0" w:rsidP="005D2259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</w:t>
            </w:r>
            <w:r w:rsidR="005D2259"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</w:t>
            </w: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M(0) x K(t)</w:t>
            </w:r>
          </w:p>
        </w:tc>
      </w:tr>
    </w:tbl>
    <w:p w:rsidR="009F21E0" w:rsidRPr="00CE0814" w:rsidRDefault="009F21E0" w:rsidP="009F21E0">
      <w:pPr>
        <w:pStyle w:val="Akapitzlist"/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9F21E0" w:rsidRPr="00CE0814" w:rsidRDefault="009F21E0" w:rsidP="005D2259">
      <w:pPr>
        <w:pStyle w:val="Akapitzlist"/>
        <w:numPr>
          <w:ilvl w:val="1"/>
          <w:numId w:val="61"/>
        </w:numPr>
        <w:spacing w:after="120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 pozostałe dni sesyjne: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9F21E0" w:rsidRPr="00CE0814" w:rsidTr="005D2259">
        <w:tc>
          <w:tcPr>
            <w:tcW w:w="1560" w:type="dxa"/>
          </w:tcPr>
          <w:p w:rsidR="005D2259" w:rsidRPr="00CE0814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CE0814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372" w:type="dxa"/>
          </w:tcPr>
          <w:p w:rsidR="005D2259" w:rsidRPr="00CE0814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9F21E0" w:rsidRPr="00CE0814" w:rsidRDefault="0015706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WIG20dvp (d) = WIG20</w:t>
            </w:r>
            <w:r w:rsidR="009F21E0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(d-1)</w:t>
            </w:r>
          </w:p>
          <w:p w:rsidR="009F21E0" w:rsidRPr="00CE0814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</w:tc>
      </w:tr>
      <w:tr w:rsidR="009F21E0" w:rsidRPr="00CE0814" w:rsidTr="005D2259">
        <w:tc>
          <w:tcPr>
            <w:tcW w:w="1560" w:type="dxa"/>
          </w:tcPr>
          <w:p w:rsidR="005D2259" w:rsidRPr="00CE0814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9F21E0" w:rsidRPr="00CE0814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9F21E0" w:rsidRPr="00CE0814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372" w:type="dxa"/>
          </w:tcPr>
          <w:p w:rsidR="005D2259" w:rsidRPr="00CE0814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9F21E0" w:rsidRPr="00CE0814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</w:t>
            </w:r>
            <w:r w:rsidR="00EF60AC"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</w:t>
            </w: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P(t) x D(t)</w:t>
            </w:r>
          </w:p>
          <w:p w:rsidR="009F21E0" w:rsidRPr="00CE0814" w:rsidRDefault="0015706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WIG20</w:t>
            </w:r>
            <w:r w:rsidR="009F21E0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(d) = -</w:t>
            </w: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---------------- x 1000 + WIG20</w:t>
            </w:r>
            <w:r w:rsidR="009F21E0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(d-1)</w:t>
            </w:r>
          </w:p>
          <w:p w:rsidR="009F21E0" w:rsidRPr="00CE0814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</w:t>
            </w:r>
            <w:r w:rsidR="00EF60AC"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</w:t>
            </w:r>
            <w:r w:rsidRPr="00CE0814">
              <w:rPr>
                <w:rFonts w:ascii="Verdana" w:hAnsi="Verdana" w:cs="Consolas"/>
                <w:sz w:val="20"/>
                <w:szCs w:val="20"/>
              </w:rPr>
              <w:t>M(0) x K(t)</w:t>
            </w:r>
          </w:p>
        </w:tc>
      </w:tr>
    </w:tbl>
    <w:p w:rsidR="009F21E0" w:rsidRPr="00CE0814" w:rsidRDefault="009F21E0" w:rsidP="009F21E0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68637E" w:rsidRPr="00CE0814" w:rsidRDefault="0068637E" w:rsidP="009F21E0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gdzie:</w:t>
      </w: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d - dzień kalkulacji indeksu WIG20dvp,</w:t>
      </w: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t - dzień sesyjny, w którym akcje uczestniczące w indeksie WIG20, po raz pierwszy są notowane z oznaczeniem „bez dywidendy”,</w:t>
      </w:r>
    </w:p>
    <w:p w:rsidR="009F21E0" w:rsidRPr="00CE0814" w:rsidRDefault="00157069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WIG20</w:t>
      </w:r>
      <w:r w:rsidR="009F21E0" w:rsidRPr="00CE0814">
        <w:rPr>
          <w:rFonts w:ascii="Verdana" w:hAnsi="Verdana" w:cs="Consolas"/>
          <w:sz w:val="20"/>
          <w:szCs w:val="20"/>
        </w:rPr>
        <w:t>dvp (d) - wartość indeksu dywidend określona na sesji w dniu „d”,</w:t>
      </w:r>
    </w:p>
    <w:p w:rsidR="009F21E0" w:rsidRPr="00CE0814" w:rsidRDefault="00157069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WIG20</w:t>
      </w:r>
      <w:r w:rsidR="009F21E0" w:rsidRPr="00CE0814">
        <w:rPr>
          <w:rFonts w:ascii="Verdana" w:hAnsi="Verdana" w:cs="Consolas"/>
          <w:sz w:val="20"/>
          <w:szCs w:val="20"/>
        </w:rPr>
        <w:t>dvp (d-1) - wartość indeksu dywidend określona na sesji w dniu „d-1” (poprzednia sesja giełdowa),</w:t>
      </w: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M(0) - kapitalizacja bazowa indeksu WIG20,</w:t>
      </w: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K(t) - współczynnik korygujący indeksu WIG20 określony na sesję w dniu „t”,</w:t>
      </w: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D(t) - </w:t>
      </w:r>
      <w:r w:rsidRPr="00CE0814">
        <w:rPr>
          <w:rFonts w:ascii="Verdana" w:hAnsi="Verdana" w:cs="Arial"/>
          <w:sz w:val="20"/>
          <w:szCs w:val="20"/>
        </w:rPr>
        <w:t>wartość dywidendy z akcji lub wartość teoretyczna dywidendy z akcji (obliczana przez Giełdę zgodnie ze Szczegółowymi Zasadami Obrotu Giełdowego w systemie UTP), które na sesji „t” po raz pierwszy są notowane „bez dywidendy”; w przypadku ustalenia dywidendy w walucie obcej, kwota dywidendy zostaje przeliczona na złote</w:t>
      </w:r>
      <w:r w:rsidR="00456A12" w:rsidRPr="00CE0814">
        <w:rPr>
          <w:rFonts w:ascii="Verdana" w:hAnsi="Verdana" w:cs="Arial"/>
          <w:sz w:val="20"/>
          <w:szCs w:val="20"/>
        </w:rPr>
        <w:t>,</w:t>
      </w:r>
    </w:p>
    <w:p w:rsidR="009F21E0" w:rsidRPr="00CE0814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P(t) - pakiet akcji danej spółki w indeksie WIG20 obowiązujący na sesję </w:t>
      </w:r>
      <w:r w:rsidR="0068637E"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>w dniu „t”.</w:t>
      </w:r>
    </w:p>
    <w:p w:rsidR="00FB3007" w:rsidRPr="00CE0814" w:rsidRDefault="00FB3007" w:rsidP="00FB3007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38b</w:t>
      </w:r>
    </w:p>
    <w:p w:rsidR="00FB3007" w:rsidRPr="00CE0814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9F21E0" w:rsidRPr="00CE0814" w:rsidRDefault="00B861C3" w:rsidP="000C7D1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WIG20</w:t>
      </w:r>
      <w:r w:rsidR="009F21E0" w:rsidRPr="00CE0814">
        <w:rPr>
          <w:rFonts w:ascii="Verdana" w:hAnsi="Verdana" w:cs="Consolas"/>
          <w:sz w:val="20"/>
          <w:szCs w:val="20"/>
        </w:rPr>
        <w:t>dvp jest publikowany w trybie jednolitym, a wartość otwarcia jest podawana do publicznej wiadomości o godzinie 11:00</w:t>
      </w:r>
      <w:r w:rsidR="00EF60AC" w:rsidRPr="00CE0814">
        <w:rPr>
          <w:rFonts w:ascii="Verdana" w:hAnsi="Verdana" w:cs="Consolas"/>
          <w:sz w:val="20"/>
          <w:szCs w:val="20"/>
        </w:rPr>
        <w:t xml:space="preserve"> każdego dnia sesyjnego</w:t>
      </w:r>
      <w:r w:rsidR="009F21E0" w:rsidRPr="00CE0814">
        <w:rPr>
          <w:rFonts w:ascii="Verdana" w:hAnsi="Verdana" w:cs="Consolas"/>
          <w:sz w:val="20"/>
          <w:szCs w:val="20"/>
        </w:rPr>
        <w:t>.</w:t>
      </w:r>
    </w:p>
    <w:p w:rsidR="009F21E0" w:rsidRPr="00CE0814" w:rsidRDefault="009F21E0" w:rsidP="000C7D1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Po zakończeniu sesji publikowane są ostateczne wartości otwarcia i zamknięcia indeksu oraz wskaźniki statystyczne zawierające podsumowanie dnia.</w:t>
      </w:r>
    </w:p>
    <w:p w:rsidR="00FB3007" w:rsidRPr="00CE0814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5D2259" w:rsidRPr="00CE0814" w:rsidRDefault="005D2259" w:rsidP="005D2259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:rsidR="000C7D1A" w:rsidRPr="00CE0814" w:rsidRDefault="000C7D1A">
      <w:pPr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br w:type="page"/>
      </w:r>
    </w:p>
    <w:p w:rsidR="00EE1F05" w:rsidRPr="00CE0814" w:rsidRDefault="00456A12" w:rsidP="00EE1F0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ROZDZIAŁ </w:t>
      </w:r>
      <w:proofErr w:type="spellStart"/>
      <w:r w:rsidRPr="00CE0814">
        <w:rPr>
          <w:rFonts w:ascii="Verdana" w:hAnsi="Verdana" w:cs="Arial"/>
          <w:sz w:val="20"/>
          <w:szCs w:val="20"/>
        </w:rPr>
        <w:t>Vb</w:t>
      </w:r>
      <w:proofErr w:type="spellEnd"/>
    </w:p>
    <w:p w:rsidR="00456A12" w:rsidRPr="00CE0814" w:rsidRDefault="00456A12" w:rsidP="00EE1F0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Szczegółowe zasady konstrukcji, obliczania i publikacji indeksu mWIG40dvp</w:t>
      </w:r>
    </w:p>
    <w:p w:rsidR="00456A12" w:rsidRPr="00CE0814" w:rsidRDefault="00456A12" w:rsidP="00EE1F05">
      <w:pPr>
        <w:pStyle w:val="Akapitzlist"/>
        <w:spacing w:line="360" w:lineRule="auto"/>
        <w:ind w:left="142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456A12" w:rsidRPr="00CE0814" w:rsidRDefault="00456A12" w:rsidP="00456A12">
      <w:pPr>
        <w:pStyle w:val="Akapitzlist"/>
        <w:spacing w:after="120" w:line="360" w:lineRule="auto"/>
        <w:ind w:left="142"/>
        <w:contextualSpacing w:val="0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38c</w:t>
      </w:r>
    </w:p>
    <w:p w:rsidR="00456A12" w:rsidRPr="00CE0814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mWIG40dvp jest obliczany na podstawie dochodów z akcji z tytułu dywidend pieniężnych wypłacanych przez spółki wchodzące w skład indeksu mWIG40, w tym:</w:t>
      </w:r>
    </w:p>
    <w:p w:rsidR="00456A12" w:rsidRPr="00CE0814" w:rsidRDefault="00456A12" w:rsidP="000C7D1A">
      <w:pPr>
        <w:pStyle w:val="Akapitzlist"/>
        <w:numPr>
          <w:ilvl w:val="0"/>
          <w:numId w:val="64"/>
        </w:numPr>
        <w:tabs>
          <w:tab w:val="clear" w:pos="1077"/>
          <w:tab w:val="num" w:pos="851"/>
        </w:tabs>
        <w:spacing w:after="120" w:line="360" w:lineRule="auto"/>
        <w:ind w:left="851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zaliczek pieniężnych na poczet przewidywanej dywidendy,</w:t>
      </w:r>
    </w:p>
    <w:p w:rsidR="00456A12" w:rsidRPr="00CE0814" w:rsidRDefault="00456A12" w:rsidP="000C7D1A">
      <w:pPr>
        <w:pStyle w:val="Akapitzlist"/>
        <w:numPr>
          <w:ilvl w:val="0"/>
          <w:numId w:val="64"/>
        </w:numPr>
        <w:tabs>
          <w:tab w:val="clear" w:pos="1077"/>
          <w:tab w:val="num" w:pos="851"/>
        </w:tabs>
        <w:spacing w:after="120" w:line="360" w:lineRule="auto"/>
        <w:ind w:left="851" w:hanging="284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dywidend, których wypłata uzależniona jest od zdarzenia przyszłego </w:t>
      </w:r>
      <w:r w:rsidRPr="00CE0814">
        <w:rPr>
          <w:rFonts w:ascii="Verdana" w:hAnsi="Verdana" w:cs="Consolas"/>
          <w:sz w:val="20"/>
          <w:szCs w:val="20"/>
        </w:rPr>
        <w:br/>
        <w:t xml:space="preserve">i niepewnego, jednak wyłącznie w przypadku jeżeli dzień sesyjny, w którym akcje będą notowane z oznaczeniem „bez dywidendy”, będzie przypadał po dniu ziszczenia się warunków wypłaty takiej dywidendy. </w:t>
      </w:r>
    </w:p>
    <w:p w:rsidR="00456A12" w:rsidRPr="00CE0814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Do obliczeń stosuje się pakiety akcji poszczególnych spółek wchodzących </w:t>
      </w:r>
      <w:r w:rsidRPr="00CE0814">
        <w:rPr>
          <w:rFonts w:ascii="Verdana" w:hAnsi="Verdana" w:cs="Consolas"/>
          <w:sz w:val="20"/>
          <w:szCs w:val="20"/>
        </w:rPr>
        <w:br/>
        <w:t>w skład indeksu mWIG40 określone dla portfela indeksu mWIG40.</w:t>
      </w:r>
    </w:p>
    <w:p w:rsidR="00456A12" w:rsidRPr="00CE0814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Datą bazową indeksu jest 2 stycznia 2007 r.</w:t>
      </w:r>
    </w:p>
    <w:p w:rsidR="00456A12" w:rsidRPr="00CE0814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jest obliczany na podstawie następujących wzorów:</w:t>
      </w:r>
    </w:p>
    <w:p w:rsidR="00456A12" w:rsidRPr="00CE0814" w:rsidRDefault="00456A12" w:rsidP="000C7D1A">
      <w:pPr>
        <w:pStyle w:val="Akapitzlist"/>
        <w:numPr>
          <w:ilvl w:val="1"/>
          <w:numId w:val="64"/>
        </w:numPr>
        <w:tabs>
          <w:tab w:val="clear" w:pos="737"/>
          <w:tab w:val="num" w:pos="851"/>
        </w:tabs>
        <w:spacing w:after="120" w:line="360" w:lineRule="auto"/>
        <w:ind w:left="851" w:hanging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 pierwszym dniu sesyjnym przypadającym po trzecim piątku grudnia każdego roku kalendarzowego: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CE0814" w:rsidTr="0095128E">
        <w:tc>
          <w:tcPr>
            <w:tcW w:w="1418" w:type="dxa"/>
          </w:tcPr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157069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mWIG40</w:t>
            </w:r>
            <w:r w:rsidR="00456A12" w:rsidRPr="00CE0814">
              <w:rPr>
                <w:rFonts w:ascii="Verdana" w:hAnsi="Verdana" w:cs="Consolas"/>
                <w:sz w:val="20"/>
                <w:szCs w:val="20"/>
              </w:rPr>
              <w:t>dvp (d) = 0</w:t>
            </w:r>
          </w:p>
        </w:tc>
      </w:tr>
      <w:tr w:rsidR="00456A12" w:rsidRPr="00CE0814" w:rsidTr="0095128E">
        <w:tc>
          <w:tcPr>
            <w:tcW w:w="1418" w:type="dxa"/>
          </w:tcPr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    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P(t) x D(t)</w:t>
            </w:r>
          </w:p>
          <w:p w:rsidR="00456A12" w:rsidRPr="00CE0814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mWIG40</w:t>
            </w:r>
            <w:r w:rsidR="00456A12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(d) = ----------------------- x 1000</w:t>
            </w: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M(0) x K(t)</w:t>
            </w:r>
          </w:p>
        </w:tc>
      </w:tr>
    </w:tbl>
    <w:p w:rsidR="00456A12" w:rsidRPr="00CE0814" w:rsidRDefault="00456A12" w:rsidP="00456A12">
      <w:pPr>
        <w:pStyle w:val="Akapitzlist"/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456A12" w:rsidRPr="00CE0814" w:rsidRDefault="00456A12" w:rsidP="000C7D1A">
      <w:pPr>
        <w:pStyle w:val="Akapitzlist"/>
        <w:numPr>
          <w:ilvl w:val="1"/>
          <w:numId w:val="64"/>
        </w:numPr>
        <w:tabs>
          <w:tab w:val="clear" w:pos="737"/>
          <w:tab w:val="num" w:pos="851"/>
        </w:tabs>
        <w:spacing w:after="120"/>
        <w:ind w:left="851" w:hanging="284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 pozostałe dni sesyjne: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CE0814" w:rsidTr="0095128E">
        <w:tc>
          <w:tcPr>
            <w:tcW w:w="1418" w:type="dxa"/>
          </w:tcPr>
          <w:p w:rsidR="00BF6130" w:rsidRPr="00CE0814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BF6130" w:rsidRPr="00CE0814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456A12" w:rsidRPr="00CE0814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mWIG40</w:t>
            </w:r>
            <w:r w:rsidR="00456A12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(d) = mWIG40dvp (d-1)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</w:tc>
      </w:tr>
      <w:tr w:rsidR="00456A12" w:rsidRPr="00CE0814" w:rsidTr="0095128E">
        <w:tc>
          <w:tcPr>
            <w:tcW w:w="1418" w:type="dxa"/>
          </w:tcPr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 xml:space="preserve">                               P(t) x D(t)</w:t>
            </w:r>
          </w:p>
          <w:p w:rsidR="00456A12" w:rsidRPr="00CE0814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AU"/>
              </w:rPr>
              <w:t>mWIG40</w:t>
            </w:r>
            <w:r w:rsidR="00456A12" w:rsidRPr="00CE0814">
              <w:rPr>
                <w:rFonts w:ascii="Verdana" w:hAnsi="Verdana" w:cs="Consolas"/>
                <w:sz w:val="20"/>
                <w:szCs w:val="20"/>
                <w:lang w:val="en-AU"/>
              </w:rPr>
              <w:t>dvp (d) =</w:t>
            </w:r>
            <w:r w:rsidR="00936BBB" w:rsidRPr="00CE0814">
              <w:rPr>
                <w:rFonts w:ascii="Verdana" w:hAnsi="Verdana" w:cs="Consolas"/>
                <w:sz w:val="20"/>
                <w:szCs w:val="20"/>
                <w:lang w:val="en-AU"/>
              </w:rPr>
              <w:t xml:space="preserve"> -------------- x 1000 + mWIG40</w:t>
            </w:r>
            <w:r w:rsidR="00456A12" w:rsidRPr="00CE0814">
              <w:rPr>
                <w:rFonts w:ascii="Verdana" w:hAnsi="Verdana" w:cs="Consolas"/>
                <w:sz w:val="20"/>
                <w:szCs w:val="20"/>
                <w:lang w:val="en-AU"/>
              </w:rPr>
              <w:t>dvp (d-1)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AU"/>
              </w:rPr>
              <w:t xml:space="preserve">                                </w:t>
            </w:r>
            <w:r w:rsidRPr="00CE0814">
              <w:rPr>
                <w:rFonts w:ascii="Verdana" w:hAnsi="Verdana" w:cs="Consolas"/>
                <w:sz w:val="20"/>
                <w:szCs w:val="20"/>
              </w:rPr>
              <w:t>M(0) x K(t)</w:t>
            </w:r>
          </w:p>
        </w:tc>
      </w:tr>
    </w:tbl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gdzie: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d - dzień kalkulacji indeksu mWIG40dvp,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t - dzień sesyjny, w którym akcje uczestniczące w indeksie mWIG40, </w:t>
      </w:r>
      <w:r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ab/>
        <w:t xml:space="preserve">po raz </w:t>
      </w:r>
      <w:r w:rsidRPr="00CE0814">
        <w:rPr>
          <w:rFonts w:ascii="Verdana" w:hAnsi="Verdana" w:cs="Consolas"/>
          <w:sz w:val="20"/>
          <w:szCs w:val="20"/>
        </w:rPr>
        <w:tab/>
        <w:t>pierwszy są notowane z oznaczeniem „bez dywidendy”,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mWIG40dvp (d) - wartość indeksu dywidend określona na sesji w dniu „d”,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mWIG40dvp (d-1) - wartość indeksu dywidend określona na sesji w dniu </w:t>
      </w:r>
      <w:r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ab/>
        <w:t xml:space="preserve">„d-1” </w:t>
      </w:r>
      <w:r w:rsidRPr="00CE0814">
        <w:rPr>
          <w:rFonts w:ascii="Verdana" w:hAnsi="Verdana" w:cs="Consolas"/>
          <w:sz w:val="20"/>
          <w:szCs w:val="20"/>
        </w:rPr>
        <w:tab/>
        <w:t>(poprzednia sesja giełdowa),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M(0) - kapitalizacja bazowa indeksu mWIG40,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K(t) - współczynnik korygujący indeksu mWIG40 określony na sesję w dniu </w:t>
      </w:r>
      <w:r w:rsidRPr="00CE0814">
        <w:rPr>
          <w:rFonts w:ascii="Verdana" w:hAnsi="Verdana" w:cs="Consolas"/>
          <w:sz w:val="20"/>
          <w:szCs w:val="20"/>
        </w:rPr>
        <w:tab/>
        <w:t>„t”,</w:t>
      </w:r>
    </w:p>
    <w:p w:rsidR="00456A12" w:rsidRPr="00CE0814" w:rsidRDefault="00456A12" w:rsidP="00456A12">
      <w:pPr>
        <w:spacing w:after="120" w:line="360" w:lineRule="auto"/>
        <w:ind w:left="708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D(t) - wartość dywidendy z akcji lub wartość teoretyczna dywidendy z akcji (obliczana przez Giełdę zgodnie ze Szczegółowymi Zasadami Obrotu </w:t>
      </w:r>
      <w:r w:rsidRPr="00CE0814">
        <w:rPr>
          <w:rFonts w:ascii="Verdana" w:hAnsi="Verdana" w:cs="Arial"/>
          <w:sz w:val="20"/>
          <w:szCs w:val="20"/>
        </w:rPr>
        <w:tab/>
        <w:t>Giełdowego w systemie UTP), które na sesji „t” po raz pierwszy są notowane „bez dywidendy”;</w:t>
      </w:r>
      <w:r w:rsidR="00BF6130" w:rsidRPr="00CE0814">
        <w:rPr>
          <w:rFonts w:ascii="Verdana" w:hAnsi="Verdana" w:cs="Arial"/>
          <w:sz w:val="20"/>
          <w:szCs w:val="20"/>
        </w:rPr>
        <w:t xml:space="preserve"> </w:t>
      </w:r>
      <w:r w:rsidRPr="00CE0814">
        <w:rPr>
          <w:rFonts w:ascii="Verdana" w:hAnsi="Verdana" w:cs="Arial"/>
          <w:sz w:val="20"/>
          <w:szCs w:val="20"/>
        </w:rPr>
        <w:t>w przypadku ustalenia dywidendy w walucie obcej, kwota dywidendy zostaje przeliczona na złote,</w:t>
      </w:r>
    </w:p>
    <w:p w:rsidR="00456A12" w:rsidRPr="00CE0814" w:rsidRDefault="00456A12" w:rsidP="00112C27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P(t) - pakiet akcji danej spółki w indeksie mWIG40 obowiązujący na sesję </w:t>
      </w:r>
      <w:r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ab/>
        <w:t>w dniu „t”.</w:t>
      </w:r>
    </w:p>
    <w:p w:rsidR="00456A12" w:rsidRPr="00CE0814" w:rsidRDefault="00456A12" w:rsidP="00456A12">
      <w:pPr>
        <w:spacing w:after="120" w:line="360" w:lineRule="auto"/>
        <w:ind w:lef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38d</w:t>
      </w:r>
    </w:p>
    <w:p w:rsidR="00456A12" w:rsidRPr="00CE0814" w:rsidRDefault="00456A12" w:rsidP="000C7D1A">
      <w:pPr>
        <w:pStyle w:val="Akapitzlist"/>
        <w:numPr>
          <w:ilvl w:val="0"/>
          <w:numId w:val="65"/>
        </w:numPr>
        <w:spacing w:line="360" w:lineRule="auto"/>
        <w:ind w:left="567" w:hanging="425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mWIG40dvp jest publikowany w trybie jednolitym, a wartość otwarcia jest podawana do publicznej wiadomości o godzinie 11:00 każdego dnia sesyjnego.</w:t>
      </w:r>
    </w:p>
    <w:p w:rsidR="00456A12" w:rsidRPr="00CE0814" w:rsidRDefault="00456A12" w:rsidP="000C7D1A">
      <w:pPr>
        <w:pStyle w:val="Akapitzlist"/>
        <w:numPr>
          <w:ilvl w:val="0"/>
          <w:numId w:val="65"/>
        </w:numPr>
        <w:spacing w:line="360" w:lineRule="auto"/>
        <w:ind w:left="567" w:hanging="425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Po zakończeniu sesji publikowane są ostateczne wartości otwarcia i zamknięcia indeksu oraz wskaźniki statystyczne zawierające podsumowanie dnia.</w:t>
      </w:r>
    </w:p>
    <w:p w:rsidR="00456A12" w:rsidRPr="00CE0814" w:rsidRDefault="00456A12" w:rsidP="00456A12">
      <w:pPr>
        <w:spacing w:after="160" w:line="259" w:lineRule="auto"/>
        <w:rPr>
          <w:rFonts w:ascii="Verdana" w:hAnsi="Verdana" w:cs="Consolas"/>
          <w:sz w:val="20"/>
          <w:szCs w:val="20"/>
        </w:rPr>
      </w:pPr>
    </w:p>
    <w:p w:rsidR="0068637E" w:rsidRPr="00CE0814" w:rsidRDefault="0068637E" w:rsidP="00456A12">
      <w:pPr>
        <w:spacing w:after="160" w:line="259" w:lineRule="auto"/>
        <w:rPr>
          <w:rFonts w:ascii="Verdana" w:hAnsi="Verdana" w:cs="Consolas"/>
          <w:sz w:val="20"/>
          <w:szCs w:val="20"/>
        </w:rPr>
      </w:pPr>
    </w:p>
    <w:p w:rsidR="00EE1F05" w:rsidRPr="00CE0814" w:rsidRDefault="00456A12" w:rsidP="00EE1F05">
      <w:pPr>
        <w:spacing w:line="360" w:lineRule="auto"/>
        <w:jc w:val="center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ROZDZIAŁ </w:t>
      </w:r>
      <w:proofErr w:type="spellStart"/>
      <w:r w:rsidRPr="00CE0814">
        <w:rPr>
          <w:rFonts w:ascii="Verdana" w:hAnsi="Verdana" w:cs="Consolas"/>
          <w:sz w:val="20"/>
          <w:szCs w:val="20"/>
        </w:rPr>
        <w:t>Vc</w:t>
      </w:r>
      <w:proofErr w:type="spellEnd"/>
    </w:p>
    <w:p w:rsidR="00456A12" w:rsidRPr="00CE0814" w:rsidRDefault="00456A12" w:rsidP="002158C9">
      <w:pPr>
        <w:spacing w:after="480" w:line="360" w:lineRule="auto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Szczegółowe zasady konstrukcji, obliczania i publikacji indeksu sWIG80dvp</w:t>
      </w:r>
    </w:p>
    <w:p w:rsidR="00456A12" w:rsidRPr="00CE0814" w:rsidRDefault="00456A12" w:rsidP="00EE1F05">
      <w:pPr>
        <w:spacing w:after="160" w:line="259" w:lineRule="auto"/>
        <w:ind w:left="142"/>
        <w:jc w:val="center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38e</w:t>
      </w:r>
    </w:p>
    <w:p w:rsidR="00456A12" w:rsidRPr="00CE0814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sWIG80dvp jest obliczany na podstawie dochodów z akcji z tytułu dywidend pieniężnych wypłacanych przez spółki wchodzące w skład indeksu sWIG80, w tym:</w:t>
      </w:r>
    </w:p>
    <w:p w:rsidR="00456A12" w:rsidRPr="00CE0814" w:rsidRDefault="00456A12" w:rsidP="00456A12">
      <w:pPr>
        <w:pStyle w:val="Akapitzlist"/>
        <w:spacing w:after="120" w:line="360" w:lineRule="auto"/>
        <w:ind w:left="502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a) </w:t>
      </w:r>
      <w:r w:rsidRPr="00CE0814">
        <w:rPr>
          <w:rFonts w:ascii="Verdana" w:hAnsi="Verdana" w:cs="Consolas"/>
          <w:sz w:val="20"/>
          <w:szCs w:val="20"/>
        </w:rPr>
        <w:t>zaliczek pieniężnych na poczet przewidywanej dywidendy,</w:t>
      </w:r>
    </w:p>
    <w:p w:rsidR="00456A12" w:rsidRPr="00CE0814" w:rsidRDefault="00456A12" w:rsidP="00456A12">
      <w:pPr>
        <w:pStyle w:val="Akapitzlist"/>
        <w:tabs>
          <w:tab w:val="num" w:pos="851"/>
        </w:tabs>
        <w:spacing w:after="120" w:line="360" w:lineRule="auto"/>
        <w:ind w:left="502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b) dywidend, których wypłata uzależniona jest od zdarzenia przyszłego </w:t>
      </w:r>
      <w:r w:rsidRPr="00CE0814">
        <w:rPr>
          <w:rFonts w:ascii="Verdana" w:hAnsi="Verdana" w:cs="Consolas"/>
          <w:sz w:val="20"/>
          <w:szCs w:val="20"/>
        </w:rPr>
        <w:br/>
        <w:t xml:space="preserve">i niepewnego, jednak wyłącznie w przypadku jeżeli dzień sesyjny, w którym akcje będą notowane z oznaczeniem „bez dywidendy”, będzie przypadał po dniu ziszczenia się warunków wypłaty takiej dywidendy. </w:t>
      </w:r>
    </w:p>
    <w:p w:rsidR="00456A12" w:rsidRPr="00CE0814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Do obliczeń stosuje się pakiety akcji poszczególnych spółek wchodzących </w:t>
      </w:r>
      <w:r w:rsidRPr="00CE0814">
        <w:rPr>
          <w:rFonts w:ascii="Verdana" w:hAnsi="Verdana" w:cs="Consolas"/>
          <w:sz w:val="20"/>
          <w:szCs w:val="20"/>
        </w:rPr>
        <w:br/>
        <w:t>w skład indeksu sWIG80 określone dla portfela indeksu sWIG80.</w:t>
      </w:r>
    </w:p>
    <w:p w:rsidR="00456A12" w:rsidRPr="00CE0814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Datą bazową indeksu jest 2 stycznia 2007 r.</w:t>
      </w:r>
    </w:p>
    <w:p w:rsidR="00456A12" w:rsidRPr="00CE0814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jest obliczany na podstawie następujących wzorów:</w:t>
      </w:r>
    </w:p>
    <w:p w:rsidR="00456A12" w:rsidRPr="00CE0814" w:rsidRDefault="00456A12" w:rsidP="000C7D1A">
      <w:pPr>
        <w:pStyle w:val="Akapitzlist"/>
        <w:numPr>
          <w:ilvl w:val="1"/>
          <w:numId w:val="67"/>
        </w:numPr>
        <w:tabs>
          <w:tab w:val="clear" w:pos="737"/>
          <w:tab w:val="num" w:pos="851"/>
        </w:tabs>
        <w:spacing w:after="120" w:line="360" w:lineRule="auto"/>
        <w:ind w:left="851" w:hanging="284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 pierwszym dniu sesyjnym przypadającym po trzecim piątku grudnia każdego roku kalendarzowego: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CE0814" w:rsidTr="0095128E">
        <w:tc>
          <w:tcPr>
            <w:tcW w:w="1418" w:type="dxa"/>
          </w:tcPr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157069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sWIG80</w:t>
            </w:r>
            <w:r w:rsidR="00456A12" w:rsidRPr="00CE0814">
              <w:rPr>
                <w:rFonts w:ascii="Verdana" w:hAnsi="Verdana" w:cs="Consolas"/>
                <w:sz w:val="20"/>
                <w:szCs w:val="20"/>
              </w:rPr>
              <w:t>dvp (d) = 0</w:t>
            </w:r>
          </w:p>
        </w:tc>
      </w:tr>
      <w:tr w:rsidR="00456A12" w:rsidRPr="00CE0814" w:rsidTr="0095128E">
        <w:tc>
          <w:tcPr>
            <w:tcW w:w="1418" w:type="dxa"/>
          </w:tcPr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    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P(t) x D(t)</w:t>
            </w:r>
          </w:p>
          <w:p w:rsidR="00456A12" w:rsidRPr="00CE0814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sWIG80</w:t>
            </w:r>
            <w:r w:rsidR="00456A12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(d) = ----------------------- x 1000</w:t>
            </w:r>
          </w:p>
          <w:p w:rsidR="00456A12" w:rsidRPr="00CE0814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M(0) x K(t)</w:t>
            </w:r>
          </w:p>
        </w:tc>
      </w:tr>
    </w:tbl>
    <w:p w:rsidR="00456A12" w:rsidRPr="00CE0814" w:rsidRDefault="00456A12" w:rsidP="00456A12">
      <w:pPr>
        <w:pStyle w:val="Akapitzlist"/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456A12" w:rsidRPr="00CE0814" w:rsidRDefault="00456A12" w:rsidP="000C7D1A">
      <w:pPr>
        <w:pStyle w:val="Akapitzlist"/>
        <w:numPr>
          <w:ilvl w:val="1"/>
          <w:numId w:val="67"/>
        </w:numPr>
        <w:tabs>
          <w:tab w:val="clear" w:pos="737"/>
          <w:tab w:val="num" w:pos="851"/>
        </w:tabs>
        <w:spacing w:after="120"/>
        <w:ind w:left="851" w:hanging="284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w pozostałe dni sesyjne: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CE0814" w:rsidTr="0095128E">
        <w:tc>
          <w:tcPr>
            <w:tcW w:w="1418" w:type="dxa"/>
          </w:tcPr>
          <w:p w:rsidR="00BF6130" w:rsidRPr="00CE0814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BF6130" w:rsidRPr="00CE0814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456A12" w:rsidRPr="00CE0814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sWIG80</w:t>
            </w:r>
            <w:r w:rsidR="00456A12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(d) = sWIG80dvp (d-1)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</w:tc>
      </w:tr>
      <w:tr w:rsidR="00456A12" w:rsidRPr="00CE0814" w:rsidTr="0095128E">
        <w:tc>
          <w:tcPr>
            <w:tcW w:w="1418" w:type="dxa"/>
          </w:tcPr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AU"/>
              </w:rPr>
              <w:t xml:space="preserve">                               P(t) x D(t)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sWIG80dvp (d) = </w:t>
            </w:r>
            <w:r w:rsidR="00157069" w:rsidRPr="00CE0814">
              <w:rPr>
                <w:rFonts w:ascii="Verdana" w:hAnsi="Verdana" w:cs="Consolas"/>
                <w:sz w:val="20"/>
                <w:szCs w:val="20"/>
                <w:lang w:val="en-US"/>
              </w:rPr>
              <w:t>--------------- x 1000 + sWIG80</w:t>
            </w: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>dvp (d-1)</w:t>
            </w:r>
          </w:p>
          <w:p w:rsidR="00456A12" w:rsidRPr="00CE0814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CE0814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</w:t>
            </w:r>
            <w:r w:rsidRPr="00CE0814">
              <w:rPr>
                <w:rFonts w:ascii="Verdana" w:hAnsi="Verdana" w:cs="Consolas"/>
                <w:sz w:val="20"/>
                <w:szCs w:val="20"/>
              </w:rPr>
              <w:t>M(0) x K(t)</w:t>
            </w:r>
          </w:p>
        </w:tc>
      </w:tr>
    </w:tbl>
    <w:p w:rsidR="00456A12" w:rsidRPr="00CE0814" w:rsidRDefault="00456A12" w:rsidP="00456A12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gdzie: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d - dzień kalkulacji indeksu sWIG80dvp,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t - dzień sesyjny, w którym akcje uczestniczące w indeksie sWIG80, po raz </w:t>
      </w:r>
      <w:r w:rsidRPr="00CE0814">
        <w:rPr>
          <w:rFonts w:ascii="Verdana" w:hAnsi="Verdana" w:cs="Consolas"/>
          <w:sz w:val="20"/>
          <w:szCs w:val="20"/>
        </w:rPr>
        <w:tab/>
        <w:t>pierwszy są notowane z oznaczeniem „bez dywidendy”,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sWIG80dvp (d) - wartość indeksu dywidend określona na sesji w dniu „d”,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sWIG80dvp (d-1) - wartość indeksu dywidend określona na sesji w dniu </w:t>
      </w:r>
      <w:r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ab/>
        <w:t xml:space="preserve">„d-1” </w:t>
      </w:r>
      <w:r w:rsidRPr="00CE0814">
        <w:rPr>
          <w:rFonts w:ascii="Verdana" w:hAnsi="Verdana" w:cs="Consolas"/>
          <w:sz w:val="20"/>
          <w:szCs w:val="20"/>
        </w:rPr>
        <w:tab/>
        <w:t>(poprzednia sesja giełdowa),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M(0) - kapitalizacja bazowa indeksu sWIG80,</w:t>
      </w:r>
    </w:p>
    <w:p w:rsidR="00456A12" w:rsidRPr="00CE0814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>K(t) - współczynnik korygujący indeksu sWIG80 określony na sesję w dniu „t”,</w:t>
      </w:r>
    </w:p>
    <w:p w:rsidR="00456A12" w:rsidRPr="00CE0814" w:rsidRDefault="00456A12" w:rsidP="00456A12">
      <w:pPr>
        <w:spacing w:after="120" w:line="360" w:lineRule="auto"/>
        <w:ind w:left="708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D(t) - wartość dywidendy z akcji lub wartość teoretyczna dywidendy z akcji (obliczana przez Giełdę zgodnie ze Szczegółowymi Zasadami Obrotu </w:t>
      </w:r>
      <w:r w:rsidRPr="00CE0814">
        <w:rPr>
          <w:rFonts w:ascii="Verdana" w:hAnsi="Verdana" w:cs="Arial"/>
          <w:sz w:val="20"/>
          <w:szCs w:val="20"/>
        </w:rPr>
        <w:tab/>
        <w:t>Giełdowego w systemie UTP), które na sesji „t” po raz pierwszy są notowane „bez dywidendy”; w przypadku ustalenia dywidendy w walucie obcej, kwota dywidendy zostaje przeliczona na złote,</w:t>
      </w:r>
    </w:p>
    <w:p w:rsidR="00456A12" w:rsidRPr="00CE0814" w:rsidRDefault="00456A12" w:rsidP="00DD64B3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ab/>
        <w:t xml:space="preserve">P(t) - pakiet akcji danej spółki w indeksie sWIG80 obowiązujący na sesję </w:t>
      </w:r>
      <w:r w:rsidRPr="00CE0814">
        <w:rPr>
          <w:rFonts w:ascii="Verdana" w:hAnsi="Verdana" w:cs="Consolas"/>
          <w:sz w:val="20"/>
          <w:szCs w:val="20"/>
        </w:rPr>
        <w:br/>
      </w:r>
      <w:r w:rsidRPr="00CE0814">
        <w:rPr>
          <w:rFonts w:ascii="Verdana" w:hAnsi="Verdana" w:cs="Consolas"/>
          <w:sz w:val="20"/>
          <w:szCs w:val="20"/>
        </w:rPr>
        <w:tab/>
        <w:t>w dniu „t”.</w:t>
      </w:r>
    </w:p>
    <w:p w:rsidR="00EE1F05" w:rsidRPr="00CE0814" w:rsidRDefault="00456A12" w:rsidP="00EE1F05">
      <w:pPr>
        <w:spacing w:after="120" w:line="360" w:lineRule="auto"/>
        <w:ind w:lef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38f</w:t>
      </w:r>
    </w:p>
    <w:p w:rsidR="00EE1F05" w:rsidRPr="00CE0814" w:rsidRDefault="00456A12" w:rsidP="000C7D1A">
      <w:pPr>
        <w:pStyle w:val="Akapitzlist"/>
        <w:numPr>
          <w:ilvl w:val="0"/>
          <w:numId w:val="68"/>
        </w:numPr>
        <w:spacing w:after="120"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>Indeks sWIG80dvp jest publikowany w trybie jednolitym, a wartość otwarcia jest podawana do publicznej wiadomości o godzinie 11:00 każdego dnia sesyjnego.</w:t>
      </w:r>
    </w:p>
    <w:p w:rsidR="00456A12" w:rsidRPr="00CE0814" w:rsidRDefault="00456A12" w:rsidP="000C7D1A">
      <w:pPr>
        <w:pStyle w:val="Akapitzlist"/>
        <w:numPr>
          <w:ilvl w:val="0"/>
          <w:numId w:val="68"/>
        </w:numPr>
        <w:spacing w:after="12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Consolas"/>
          <w:sz w:val="20"/>
          <w:szCs w:val="20"/>
        </w:rPr>
        <w:t xml:space="preserve">Po zakończeniu sesji publikowane są ostateczne wartości otwarcia i zamknięcia indeksu oraz wskaźniki statystyczne </w:t>
      </w:r>
      <w:r w:rsidR="00BF6130" w:rsidRPr="00CE0814">
        <w:rPr>
          <w:rFonts w:ascii="Verdana" w:hAnsi="Verdana" w:cs="Consolas"/>
          <w:sz w:val="20"/>
          <w:szCs w:val="20"/>
        </w:rPr>
        <w:t>zawierające podsumowanie dnia.</w:t>
      </w:r>
    </w:p>
    <w:p w:rsidR="00456A12" w:rsidRPr="00CE0814" w:rsidRDefault="00456A12">
      <w:pPr>
        <w:rPr>
          <w:rFonts w:ascii="Verdana" w:hAnsi="Verdana" w:cs="Arial"/>
          <w:color w:val="000000"/>
          <w:sz w:val="20"/>
          <w:szCs w:val="20"/>
        </w:rPr>
      </w:pPr>
    </w:p>
    <w:p w:rsidR="005D2259" w:rsidRPr="00CE0814" w:rsidRDefault="005D2259" w:rsidP="005D2259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:rsidR="005D2259" w:rsidRPr="00CE0814" w:rsidRDefault="005D2259" w:rsidP="005D2259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:rsidR="00967785" w:rsidRPr="00CE0814" w:rsidRDefault="00967785" w:rsidP="006B501C">
      <w:pPr>
        <w:spacing w:after="120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ROZDZIAŁ VI</w:t>
      </w:r>
    </w:p>
    <w:p w:rsidR="00967785" w:rsidRPr="00CE0814" w:rsidRDefault="00967785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Warszawski Indeks Giełdowy spółek dywidendowych 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WIGdiv</w:t>
      </w:r>
      <w:proofErr w:type="spellEnd"/>
    </w:p>
    <w:p w:rsidR="00967785" w:rsidRPr="00CE0814" w:rsidRDefault="00967785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color w:val="000000"/>
          <w:sz w:val="20"/>
          <w:szCs w:val="20"/>
        </w:rPr>
      </w:pPr>
    </w:p>
    <w:p w:rsidR="00967785" w:rsidRPr="00CE0814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39</w:t>
      </w:r>
    </w:p>
    <w:p w:rsidR="00967785" w:rsidRPr="00CE0814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Uczestnikami indeksu są spółki o najwyższej stopie dywidendy w bieżącym roku, które na przestrzeni ostatnich 5 lat obrotowych regularnie dokonywały wypłaty dywidendy.</w:t>
      </w:r>
    </w:p>
    <w:p w:rsidR="00967785" w:rsidRPr="00CE0814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W skład portfela indeksu mogą wchodzić pakiety akcji spółek zakwalifikowanych do indeksów WIG20, mWIG40 lub sWIG80</w:t>
      </w:r>
      <w:r w:rsidR="008B1DCE" w:rsidRPr="00CE0814">
        <w:rPr>
          <w:rFonts w:ascii="Verdana" w:hAnsi="Verdana" w:cs="Arial"/>
          <w:color w:val="000000"/>
          <w:sz w:val="20"/>
          <w:szCs w:val="20"/>
        </w:rPr>
        <w:t>.</w:t>
      </w:r>
    </w:p>
    <w:p w:rsidR="00967785" w:rsidRPr="00CE0814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Datą bazową indeksu jest 31 grudnia 2010 roku.</w:t>
      </w:r>
    </w:p>
    <w:p w:rsidR="00967785" w:rsidRPr="00CE0814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Wartość indeksu w dniu bazowym wynosi 1000,00 punktów.</w:t>
      </w:r>
    </w:p>
    <w:p w:rsidR="00967785" w:rsidRPr="00CE0814" w:rsidRDefault="00967785" w:rsidP="00157069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Indeks obliczany jest z uwzględnianiem dochodów z akcji, w szczególności z tytułu dywidend oraz praw poboru (indeks dochodowy). W tym celu stosuje się współczynnik korygujący obliczany na podstawie następującego wzoru: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             </w:t>
      </w:r>
      <w:r w:rsidRPr="00CE0814">
        <w:rPr>
          <w:rFonts w:ascii="Verdana" w:hAnsi="Verdana" w:cs="Arial"/>
          <w:color w:val="000000"/>
          <w:sz w:val="20"/>
          <w:szCs w:val="20"/>
        </w:rPr>
        <w:tab/>
      </w: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>M(t’)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  <w:t>K(t+1)  =   ————— * K(t)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  <w:t xml:space="preserve">        </w:t>
      </w: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  <w:t>M(t)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</w:r>
    </w:p>
    <w:p w:rsidR="00967785" w:rsidRPr="00CE0814" w:rsidRDefault="00BA2EE8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</w:r>
      <w:proofErr w:type="spellStart"/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>oraz</w:t>
      </w:r>
      <w:proofErr w:type="spellEnd"/>
      <w:r w:rsidR="00967785" w:rsidRPr="00CE0814">
        <w:rPr>
          <w:rFonts w:ascii="Verdana" w:hAnsi="Verdana" w:cs="Arial"/>
          <w:color w:val="000000"/>
          <w:sz w:val="20"/>
          <w:szCs w:val="20"/>
          <w:lang w:val="de-DE"/>
        </w:rPr>
        <w:t>:</w:t>
      </w:r>
      <w:r w:rsidR="00967785"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  <w:t>M(t’) = M(t) - D(t) - V(t) + Q(t)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  <w:t xml:space="preserve"> </w:t>
      </w:r>
      <w:r w:rsidRPr="00CE0814">
        <w:rPr>
          <w:rFonts w:ascii="Verdana" w:hAnsi="Verdana" w:cs="Arial"/>
          <w:color w:val="000000"/>
          <w:sz w:val="20"/>
          <w:szCs w:val="20"/>
          <w:lang w:val="de-DE"/>
        </w:rPr>
        <w:tab/>
        <w:t xml:space="preserve">          </w:t>
      </w:r>
      <w:r w:rsidRPr="00CE0814">
        <w:rPr>
          <w:rFonts w:ascii="Verdana" w:hAnsi="Verdana" w:cs="Arial"/>
          <w:color w:val="000000"/>
          <w:sz w:val="20"/>
          <w:szCs w:val="20"/>
        </w:rPr>
        <w:t>P(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 - P(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i,em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ab/>
        <w:t>gdzie :  V(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  =   ———————  * N(i)</w:t>
      </w:r>
    </w:p>
    <w:p w:rsidR="00967785" w:rsidRPr="00CE0814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ab/>
      </w:r>
      <w:r w:rsidRPr="00CE0814">
        <w:rPr>
          <w:rFonts w:ascii="Verdana" w:hAnsi="Verdana" w:cs="Arial"/>
          <w:color w:val="000000"/>
          <w:sz w:val="20"/>
          <w:szCs w:val="20"/>
        </w:rPr>
        <w:tab/>
      </w:r>
      <w:r w:rsidRPr="00CE0814">
        <w:rPr>
          <w:rFonts w:ascii="Verdana" w:hAnsi="Verdana" w:cs="Arial"/>
          <w:color w:val="000000"/>
          <w:sz w:val="20"/>
          <w:szCs w:val="20"/>
        </w:rPr>
        <w:tab/>
        <w:t xml:space="preserve">     S(i) + 1</w:t>
      </w:r>
    </w:p>
    <w:p w:rsidR="00967785" w:rsidRPr="00CE0814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D(t)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wartość dywidendy z akcji lub teoretyczna wartość dywidendy z akcji (obliczana przez Giełdę zgodnie ze Szczegółowymi Zasadami Obrotu Giełdowego</w:t>
      </w:r>
      <w:r w:rsidR="006479E8" w:rsidRPr="00CE0814">
        <w:rPr>
          <w:rFonts w:ascii="Verdana" w:hAnsi="Verdana" w:cs="Arial"/>
          <w:color w:val="000000"/>
          <w:sz w:val="20"/>
          <w:szCs w:val="20"/>
        </w:rPr>
        <w:t xml:space="preserve"> w systemie UTP</w:t>
      </w:r>
      <w:r w:rsidRPr="00CE0814">
        <w:rPr>
          <w:rFonts w:ascii="Verdana" w:hAnsi="Verdana" w:cs="Arial"/>
          <w:color w:val="000000"/>
          <w:sz w:val="20"/>
          <w:szCs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color w:val="000000"/>
            <w:sz w:val="20"/>
            <w:szCs w:val="20"/>
          </w:rPr>
          <w:t>1”</w:t>
        </w:r>
      </w:smartTag>
      <w:r w:rsidRPr="00CE0814">
        <w:rPr>
          <w:rFonts w:ascii="Verdana" w:hAnsi="Verdana" w:cs="Arial"/>
          <w:color w:val="000000"/>
          <w:sz w:val="20"/>
          <w:szCs w:val="20"/>
        </w:rPr>
        <w:t xml:space="preserve"> po raz pierwszy będą notowane „bez dywidendy”</w:t>
      </w:r>
      <w:r w:rsidR="000C0D81" w:rsidRPr="00CE0814">
        <w:rPr>
          <w:rFonts w:ascii="Verdana" w:hAnsi="Verdana" w:cs="Arial"/>
          <w:sz w:val="20"/>
        </w:rPr>
        <w:t>; w przypadku ustalenia dywidendy w walucie obcej, kwota dywidendy zostaje przeliczona na złote</w:t>
      </w:r>
    </w:p>
    <w:p w:rsidR="00967785" w:rsidRPr="00CE0814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V(t)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teoretyczna wartość prawa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color w:val="000000"/>
            <w:sz w:val="20"/>
            <w:szCs w:val="20"/>
          </w:rPr>
          <w:t>1”</w:t>
        </w:r>
      </w:smartTag>
      <w:r w:rsidRPr="00CE0814">
        <w:rPr>
          <w:rFonts w:ascii="Verdana" w:hAnsi="Verdana" w:cs="Arial"/>
          <w:color w:val="000000"/>
          <w:sz w:val="20"/>
          <w:szCs w:val="20"/>
        </w:rPr>
        <w:t xml:space="preserve"> po raz pierwszy będą notowane „bez prawa poboru”</w:t>
      </w:r>
    </w:p>
    <w:p w:rsidR="00967785" w:rsidRPr="00CE0814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V(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teoretyczna wartość prawa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CE0814">
          <w:rPr>
            <w:rFonts w:ascii="Verdana" w:hAnsi="Verdana" w:cs="Arial"/>
            <w:color w:val="000000"/>
            <w:sz w:val="20"/>
            <w:szCs w:val="20"/>
          </w:rPr>
          <w:t>1”</w:t>
        </w:r>
      </w:smartTag>
      <w:r w:rsidRPr="00CE0814">
        <w:rPr>
          <w:rFonts w:ascii="Verdana" w:hAnsi="Verdana" w:cs="Arial"/>
          <w:color w:val="000000"/>
          <w:sz w:val="20"/>
          <w:szCs w:val="20"/>
        </w:rPr>
        <w:t xml:space="preserve"> po raz pierwszy będą notowane „bez prawa poboru”; wartości teoretycznej V(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 nie oblicza się, jeśli cena emisyjna P(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i,em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 jest wyższa od kursu akcji P(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</w:t>
      </w:r>
    </w:p>
    <w:p w:rsidR="00967785" w:rsidRPr="00CE0814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Q(t)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 xml:space="preserve">wartość rynkowa akcji wprowadzanych (+), bądź wyłączanych (-) </w:t>
      </w:r>
      <w:r w:rsidR="00636343" w:rsidRPr="00CE0814">
        <w:rPr>
          <w:rFonts w:ascii="Verdana" w:hAnsi="Verdana" w:cs="Arial"/>
          <w:color w:val="000000"/>
          <w:sz w:val="20"/>
          <w:szCs w:val="20"/>
        </w:rPr>
        <w:br/>
      </w:r>
      <w:r w:rsidRPr="00CE0814">
        <w:rPr>
          <w:rFonts w:ascii="Verdana" w:hAnsi="Verdana" w:cs="Arial"/>
          <w:color w:val="000000"/>
          <w:sz w:val="20"/>
          <w:szCs w:val="20"/>
        </w:rPr>
        <w:t>z portfela indeksu po sesji „t”; dotyczy to zarówno zwiększania pakietów akcji spółek wcześniej uczestniczących w indeksie, jak również akcji spółek jeszcze nie uczestniczących w indeksie</w:t>
      </w:r>
    </w:p>
    <w:p w:rsidR="00967785" w:rsidRPr="00CE0814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P(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i,t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 xml:space="preserve">kurs akcji „i” na sesji „t” </w:t>
      </w:r>
    </w:p>
    <w:p w:rsidR="00967785" w:rsidRPr="00CE0814" w:rsidRDefault="00967785" w:rsidP="00967785">
      <w:pPr>
        <w:tabs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P(</w:t>
      </w:r>
      <w:proofErr w:type="spellStart"/>
      <w:r w:rsidRPr="00CE0814">
        <w:rPr>
          <w:rFonts w:ascii="Verdana" w:hAnsi="Verdana" w:cs="Arial"/>
          <w:color w:val="000000"/>
          <w:sz w:val="20"/>
          <w:szCs w:val="20"/>
        </w:rPr>
        <w:t>i,em</w:t>
      </w:r>
      <w:proofErr w:type="spellEnd"/>
      <w:r w:rsidRPr="00CE0814">
        <w:rPr>
          <w:rFonts w:ascii="Verdana" w:hAnsi="Verdana" w:cs="Arial"/>
          <w:color w:val="000000"/>
          <w:sz w:val="20"/>
          <w:szCs w:val="20"/>
        </w:rPr>
        <w:t>)-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cena akcji nowej emisji z prawem poboru spółki „i”</w:t>
      </w:r>
    </w:p>
    <w:p w:rsidR="00967785" w:rsidRPr="00CE0814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S(i)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liczba praw niezbędna do objęcia 1 akcji nowej emisji spółki „i”</w:t>
      </w:r>
    </w:p>
    <w:p w:rsidR="00967785" w:rsidRPr="00CE0814" w:rsidRDefault="00967785" w:rsidP="00157069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N(i)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-</w:t>
      </w:r>
      <w:r w:rsidRPr="00CE0814">
        <w:rPr>
          <w:rFonts w:ascii="Verdana" w:hAnsi="Verdana" w:cs="Arial"/>
          <w:color w:val="000000"/>
          <w:sz w:val="20"/>
          <w:szCs w:val="20"/>
        </w:rPr>
        <w:tab/>
        <w:t>liczba akcji spółki „i” w portfelu indeksu.</w:t>
      </w:r>
    </w:p>
    <w:p w:rsidR="00967785" w:rsidRPr="00CE0814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40</w:t>
      </w:r>
      <w:r w:rsidR="00967785" w:rsidRPr="00CE0814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67785" w:rsidRPr="00CE0814" w:rsidRDefault="00967785" w:rsidP="00A04312">
      <w:pPr>
        <w:numPr>
          <w:ilvl w:val="0"/>
          <w:numId w:val="4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Rewizja roczna indeksu przeprowadzana jest po sesji trzeciego piątku grudnia, </w:t>
      </w:r>
      <w:r w:rsidR="00EA16CB" w:rsidRPr="00CE0814">
        <w:rPr>
          <w:rFonts w:ascii="Verdana" w:hAnsi="Verdana" w:cs="Arial"/>
          <w:color w:val="000000"/>
          <w:sz w:val="20"/>
          <w:szCs w:val="20"/>
        </w:rPr>
        <w:br/>
      </w:r>
      <w:r w:rsidRPr="00CE0814">
        <w:rPr>
          <w:rFonts w:ascii="Verdana" w:hAnsi="Verdana" w:cs="Arial"/>
          <w:color w:val="000000"/>
          <w:sz w:val="20"/>
          <w:szCs w:val="20"/>
        </w:rPr>
        <w:t>a jej celem jest dokonanie niezbędnych zmian listy uczestników indeksu oraz wyznaczenie nowych pakietów akcji wszystkich uczestników indeksu.</w:t>
      </w:r>
    </w:p>
    <w:p w:rsidR="00935C7A" w:rsidRPr="00CE0814" w:rsidRDefault="00935C7A" w:rsidP="00A04312">
      <w:pPr>
        <w:pStyle w:val="Akapitzlist"/>
        <w:numPr>
          <w:ilvl w:val="0"/>
          <w:numId w:val="42"/>
        </w:numPr>
        <w:tabs>
          <w:tab w:val="clear" w:pos="720"/>
        </w:tabs>
        <w:spacing w:line="360" w:lineRule="auto"/>
        <w:ind w:left="284" w:right="144" w:hanging="284"/>
        <w:jc w:val="both"/>
        <w:rPr>
          <w:rFonts w:ascii="Verdana" w:hAnsi="Verdana"/>
          <w:color w:val="000000"/>
          <w:sz w:val="20"/>
          <w:szCs w:val="20"/>
        </w:rPr>
      </w:pPr>
      <w:r w:rsidRPr="00CE0814">
        <w:rPr>
          <w:rFonts w:ascii="Verdana" w:hAnsi="Verdana"/>
          <w:color w:val="000000"/>
          <w:sz w:val="20"/>
          <w:szCs w:val="20"/>
        </w:rPr>
        <w:t xml:space="preserve">Uczestnikami indeksu po rewizji rocznej zostają spółki, które w każdym </w:t>
      </w:r>
      <w:r w:rsidRPr="00CE0814">
        <w:rPr>
          <w:rFonts w:ascii="Verdana" w:hAnsi="Verdana"/>
          <w:color w:val="000000"/>
          <w:sz w:val="20"/>
          <w:szCs w:val="20"/>
        </w:rPr>
        <w:br/>
        <w:t>z ostatnich pięciu lat obrotowych, do dnia ostatniej sesji listopada roku obrotowego, w którym przeprowadzana jest rewizja (włącznie), wypłaciły dywidendę.</w:t>
      </w:r>
    </w:p>
    <w:p w:rsidR="00967785" w:rsidRPr="00CE0814" w:rsidRDefault="00967785" w:rsidP="00A04312">
      <w:pPr>
        <w:numPr>
          <w:ilvl w:val="0"/>
          <w:numId w:val="4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W przypadku spółek, których instrumenty finansowe są notowane krócej niż </w:t>
      </w:r>
      <w:r w:rsidR="007E5787" w:rsidRPr="00CE0814">
        <w:rPr>
          <w:rFonts w:ascii="Verdana" w:hAnsi="Verdana" w:cs="Arial"/>
          <w:color w:val="000000"/>
          <w:sz w:val="20"/>
          <w:szCs w:val="20"/>
        </w:rPr>
        <w:br/>
      </w:r>
      <w:r w:rsidRPr="00CE0814">
        <w:rPr>
          <w:rFonts w:ascii="Verdana" w:hAnsi="Verdana" w:cs="Arial"/>
          <w:color w:val="000000"/>
          <w:sz w:val="20"/>
          <w:szCs w:val="20"/>
        </w:rPr>
        <w:t xml:space="preserve">5 lat, pod uwagę bierze się </w:t>
      </w:r>
      <w:r w:rsidR="001F04EE" w:rsidRPr="00CE0814">
        <w:rPr>
          <w:rFonts w:ascii="Verdana" w:hAnsi="Verdana" w:cs="Arial"/>
          <w:color w:val="000000"/>
          <w:sz w:val="20"/>
          <w:szCs w:val="20"/>
        </w:rPr>
        <w:t xml:space="preserve">również informacje </w:t>
      </w:r>
      <w:r w:rsidR="002A24E2" w:rsidRPr="00CE0814">
        <w:rPr>
          <w:rFonts w:ascii="Verdana" w:hAnsi="Verdana" w:cs="Arial"/>
          <w:color w:val="000000"/>
          <w:sz w:val="20"/>
          <w:szCs w:val="20"/>
        </w:rPr>
        <w:t xml:space="preserve">o wypłacie dywidendy </w:t>
      </w:r>
      <w:r w:rsidR="001F04EE" w:rsidRPr="00CE0814">
        <w:rPr>
          <w:rFonts w:ascii="Verdana" w:hAnsi="Verdana" w:cs="Arial"/>
          <w:color w:val="000000"/>
          <w:sz w:val="20"/>
          <w:szCs w:val="20"/>
        </w:rPr>
        <w:t xml:space="preserve">za poprzednie lata </w:t>
      </w:r>
      <w:r w:rsidR="002A24E2" w:rsidRPr="00CE0814">
        <w:rPr>
          <w:rFonts w:ascii="Verdana" w:hAnsi="Verdana" w:cs="Arial"/>
          <w:color w:val="000000"/>
          <w:sz w:val="20"/>
          <w:szCs w:val="20"/>
        </w:rPr>
        <w:t>obrotowe</w:t>
      </w:r>
      <w:r w:rsidR="008B1DCE" w:rsidRPr="00CE0814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CE0814">
        <w:rPr>
          <w:rFonts w:ascii="Verdana" w:hAnsi="Verdana" w:cs="Arial"/>
          <w:color w:val="000000"/>
          <w:sz w:val="20"/>
          <w:szCs w:val="20"/>
        </w:rPr>
        <w:t>zawarte w </w:t>
      </w:r>
      <w:r w:rsidR="00392C62" w:rsidRPr="00CE0814">
        <w:rPr>
          <w:rFonts w:ascii="Verdana" w:hAnsi="Verdana" w:cs="Arial"/>
          <w:color w:val="000000"/>
          <w:sz w:val="20"/>
          <w:szCs w:val="20"/>
        </w:rPr>
        <w:t xml:space="preserve">odpowiednim </w:t>
      </w:r>
      <w:r w:rsidRPr="00CE0814">
        <w:rPr>
          <w:rFonts w:ascii="Verdana" w:hAnsi="Verdana" w:cs="Arial"/>
          <w:color w:val="000000"/>
          <w:sz w:val="20"/>
          <w:szCs w:val="20"/>
        </w:rPr>
        <w:t>dokumencie informacyjnym.</w:t>
      </w:r>
    </w:p>
    <w:p w:rsidR="00967785" w:rsidRPr="00CE0814" w:rsidRDefault="00967785" w:rsidP="00A04312">
      <w:pPr>
        <w:numPr>
          <w:ilvl w:val="0"/>
          <w:numId w:val="4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Pakiety akcji spółek wchodzących w skład portfela indeksu po rewizji rocznej wyznaczane są według stanu po ostatniej sesji listopada.</w:t>
      </w:r>
    </w:p>
    <w:p w:rsidR="00967785" w:rsidRPr="00CE0814" w:rsidRDefault="00967785" w:rsidP="00A04312">
      <w:pPr>
        <w:numPr>
          <w:ilvl w:val="0"/>
          <w:numId w:val="4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Wielkość pakietu akcji jest redukowana proporcjonalnie po ostatniej sesji listopada, jeżeli wartość akcji danej spółki znajdująca się w portfelu indeksu przekracza 10% jego wartości.</w:t>
      </w:r>
    </w:p>
    <w:p w:rsidR="00967785" w:rsidRPr="00CE0814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41</w:t>
      </w:r>
      <w:r w:rsidR="00967785" w:rsidRPr="00CE0814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67785" w:rsidRPr="00CE0814" w:rsidRDefault="00967785" w:rsidP="00A04312">
      <w:pPr>
        <w:numPr>
          <w:ilvl w:val="0"/>
          <w:numId w:val="4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Korekta kwartalna jest przeprowadzana po sesji trzeciego piątku marca, czerwca i września, a jej celem jest wyznaczenie nowych pakietów akcji wszystkich uczestników indeksu.</w:t>
      </w:r>
    </w:p>
    <w:p w:rsidR="00967785" w:rsidRPr="00CE0814" w:rsidRDefault="00967785" w:rsidP="00A04312">
      <w:pPr>
        <w:numPr>
          <w:ilvl w:val="0"/>
          <w:numId w:val="4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Pakiety akcji spółek wyznaczane są według stanu po ostatniej sesji lutego, maja </w:t>
      </w:r>
      <w:r w:rsidRPr="00CE0814">
        <w:rPr>
          <w:rFonts w:ascii="Verdana" w:hAnsi="Verdana" w:cs="Arial"/>
          <w:color w:val="000000"/>
          <w:sz w:val="20"/>
          <w:szCs w:val="20"/>
        </w:rPr>
        <w:br/>
        <w:t xml:space="preserve">i </w:t>
      </w:r>
      <w:r w:rsidR="00A74B8B" w:rsidRPr="00CE0814">
        <w:rPr>
          <w:rFonts w:ascii="Verdana" w:hAnsi="Verdana" w:cs="Arial"/>
          <w:color w:val="000000"/>
          <w:sz w:val="20"/>
          <w:szCs w:val="20"/>
        </w:rPr>
        <w:t>sierpnia</w:t>
      </w:r>
      <w:r w:rsidRPr="00CE0814">
        <w:rPr>
          <w:rFonts w:ascii="Verdana" w:hAnsi="Verdana" w:cs="Arial"/>
          <w:color w:val="000000"/>
          <w:sz w:val="20"/>
          <w:szCs w:val="20"/>
        </w:rPr>
        <w:t>.</w:t>
      </w:r>
    </w:p>
    <w:p w:rsidR="00967785" w:rsidRPr="00CE0814" w:rsidRDefault="00967785" w:rsidP="00A04312">
      <w:pPr>
        <w:numPr>
          <w:ilvl w:val="0"/>
          <w:numId w:val="4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Wielkość pakietu akcji jest redukowana proporcjonalnie po ostatniej sesji lutego, maja i </w:t>
      </w:r>
      <w:r w:rsidR="00A74B8B" w:rsidRPr="00CE0814">
        <w:rPr>
          <w:rFonts w:ascii="Verdana" w:hAnsi="Verdana" w:cs="Arial"/>
          <w:color w:val="000000"/>
          <w:sz w:val="20"/>
          <w:szCs w:val="20"/>
        </w:rPr>
        <w:t>sierpnia</w:t>
      </w:r>
      <w:r w:rsidRPr="00CE0814">
        <w:rPr>
          <w:rFonts w:ascii="Verdana" w:hAnsi="Verdana" w:cs="Arial"/>
          <w:color w:val="000000"/>
          <w:sz w:val="20"/>
          <w:szCs w:val="20"/>
        </w:rPr>
        <w:t>, jeżeli wartość akcji danej spółki znajdująca się w portfelu indeksu przekracza 10% jego wartości.</w:t>
      </w:r>
    </w:p>
    <w:p w:rsidR="00967785" w:rsidRPr="00CE0814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§ 42</w:t>
      </w:r>
      <w:r w:rsidR="00967785" w:rsidRPr="00CE0814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AE11AF" w:rsidRPr="00CE0814" w:rsidRDefault="00967785" w:rsidP="00A04312">
      <w:pPr>
        <w:numPr>
          <w:ilvl w:val="0"/>
          <w:numId w:val="4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W szczególnych przypadkach może zostać przeprowadzona nadzwyczajna korekta uczestników indeksu w celu skreślenia spółki z listy uczestników indeksu.</w:t>
      </w:r>
    </w:p>
    <w:p w:rsidR="003C2113" w:rsidRPr="00CE0814" w:rsidRDefault="008B1DCE" w:rsidP="00A04312">
      <w:pPr>
        <w:numPr>
          <w:ilvl w:val="0"/>
          <w:numId w:val="4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>(uchylony)</w:t>
      </w:r>
    </w:p>
    <w:p w:rsidR="00786150" w:rsidRPr="00CE0814" w:rsidRDefault="003C2113" w:rsidP="00A04312">
      <w:pPr>
        <w:numPr>
          <w:ilvl w:val="0"/>
          <w:numId w:val="4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color w:val="000000"/>
          <w:sz w:val="20"/>
          <w:szCs w:val="20"/>
        </w:rPr>
        <w:t xml:space="preserve">Korekta nadzwyczajna uczestników indeksu jest dokonywana w szczególności </w:t>
      </w:r>
      <w:r w:rsidRPr="00CE0814">
        <w:rPr>
          <w:rFonts w:ascii="Verdana" w:hAnsi="Verdana" w:cs="Arial"/>
          <w:color w:val="000000"/>
          <w:sz w:val="20"/>
          <w:szCs w:val="20"/>
        </w:rPr>
        <w:br/>
      </w:r>
      <w:r w:rsidR="003F2D37" w:rsidRPr="00CE0814">
        <w:rPr>
          <w:rFonts w:ascii="Verdana" w:hAnsi="Verdana" w:cs="Arial"/>
          <w:color w:val="000000"/>
          <w:sz w:val="20"/>
          <w:szCs w:val="20"/>
        </w:rPr>
        <w:t>w p</w:t>
      </w:r>
      <w:r w:rsidRPr="00CE0814">
        <w:rPr>
          <w:rFonts w:ascii="Verdana" w:hAnsi="Verdana" w:cs="Arial"/>
          <w:color w:val="000000"/>
          <w:sz w:val="20"/>
          <w:szCs w:val="20"/>
        </w:rPr>
        <w:t xml:space="preserve">rzypadku podjęcia przez walne zgromadzenie spółki będącej uczestnikiem indeksu uchwały o przeznaczeniu zysku za dany rok obrotowy na inny cel niż wypłata dywidendy dla akcjonariuszy. </w:t>
      </w:r>
    </w:p>
    <w:p w:rsidR="00786150" w:rsidRPr="00CE0814" w:rsidRDefault="00786150" w:rsidP="0078615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</w:rPr>
      </w:pPr>
    </w:p>
    <w:p w:rsidR="000C7D1A" w:rsidRPr="00CE0814" w:rsidRDefault="000C7D1A" w:rsidP="003E07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3E077C" w:rsidRPr="00CE0814" w:rsidRDefault="003E077C" w:rsidP="003E07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ROZDZIAŁ VII</w:t>
      </w:r>
    </w:p>
    <w:p w:rsidR="00BE6F94" w:rsidRPr="00CE0814" w:rsidRDefault="002936FE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</w:rPr>
      </w:pPr>
      <w:proofErr w:type="spellStart"/>
      <w:r w:rsidRPr="00CE0814">
        <w:rPr>
          <w:rFonts w:ascii="Verdana" w:hAnsi="Verdana" w:cs="Arial"/>
          <w:sz w:val="20"/>
        </w:rPr>
        <w:t>Indeksy</w:t>
      </w:r>
      <w:proofErr w:type="spellEnd"/>
      <w:r w:rsidRPr="00CE0814">
        <w:rPr>
          <w:rFonts w:ascii="Verdana" w:hAnsi="Verdana" w:cs="Arial"/>
          <w:sz w:val="20"/>
        </w:rPr>
        <w:t xml:space="preserve"> </w:t>
      </w:r>
      <w:proofErr w:type="spellStart"/>
      <w:r w:rsidRPr="00CE0814">
        <w:rPr>
          <w:rFonts w:ascii="Verdana" w:hAnsi="Verdana" w:cs="Arial"/>
          <w:sz w:val="20"/>
        </w:rPr>
        <w:t>makrosektorowe</w:t>
      </w:r>
      <w:proofErr w:type="spellEnd"/>
    </w:p>
    <w:p w:rsidR="000C7D1A" w:rsidRPr="00CE0814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</w:rPr>
      </w:pPr>
    </w:p>
    <w:p w:rsidR="002936FE" w:rsidRPr="00CE0814" w:rsidRDefault="002936FE" w:rsidP="002936FE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 w:hanging="284"/>
        <w:jc w:val="center"/>
        <w:outlineLvl w:val="0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43</w:t>
      </w:r>
    </w:p>
    <w:p w:rsidR="002936FE" w:rsidRPr="00CE0814" w:rsidRDefault="002936FE" w:rsidP="000C7D1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 xml:space="preserve">Giełda oblicza i podaje do publicznej wiadomości wartości następujących indeksów </w:t>
      </w:r>
      <w:proofErr w:type="spellStart"/>
      <w:r w:rsidRPr="00CE0814">
        <w:rPr>
          <w:rFonts w:ascii="Verdana" w:hAnsi="Verdana" w:cs="Arial"/>
          <w:sz w:val="20"/>
        </w:rPr>
        <w:t>makrosektorowych</w:t>
      </w:r>
      <w:proofErr w:type="spellEnd"/>
      <w:r w:rsidRPr="00CE0814">
        <w:rPr>
          <w:rFonts w:ascii="Verdana" w:hAnsi="Verdana" w:cs="Arial"/>
          <w:sz w:val="20"/>
        </w:rPr>
        <w:t>:</w:t>
      </w:r>
    </w:p>
    <w:p w:rsidR="000C7D1A" w:rsidRPr="00CE0814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WIG.MS-BAS (obejmujący spółki z branż związanych z energią, górnictwem i surowcami)</w:t>
      </w:r>
      <w:r w:rsidR="002B28E0" w:rsidRPr="00CE0814">
        <w:rPr>
          <w:rFonts w:ascii="Verdana" w:hAnsi="Verdana" w:cs="Arial"/>
          <w:sz w:val="20"/>
        </w:rPr>
        <w:t>,</w:t>
      </w:r>
    </w:p>
    <w:p w:rsidR="000C7D1A" w:rsidRPr="00CE0814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WIG.MS-FIN (obejmujący spółki z branż związanych z bankowością, ubezpieczeniami, rynkiem kapitałowym oraz wierzytelnościami),</w:t>
      </w:r>
    </w:p>
    <w:p w:rsidR="000C7D1A" w:rsidRPr="00CE0814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WIG.GAMES (obejmujący spółki z branży producentów i wydawców gier wideo),</w:t>
      </w:r>
    </w:p>
    <w:p w:rsidR="002936FE" w:rsidRPr="00CE0814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WIG.MS-PET (obejmujący spółki z branż związanych z paliwami, gazem oraz chemią).</w:t>
      </w:r>
    </w:p>
    <w:p w:rsidR="002936FE" w:rsidRPr="00CE0814" w:rsidRDefault="002936FE" w:rsidP="000C7D1A">
      <w:pPr>
        <w:pStyle w:val="Akapitzlist"/>
        <w:numPr>
          <w:ilvl w:val="0"/>
          <w:numId w:val="69"/>
        </w:numPr>
        <w:spacing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W skład portfeli indeksów mogą wchodzić pakiety akcji spółek zakwalifikowanych do indeksów WIG20, mWIG40 lub sWIG80. </w:t>
      </w:r>
    </w:p>
    <w:p w:rsidR="002936FE" w:rsidRPr="00CE0814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 xml:space="preserve">W skład portfeli poszczególnych indeksów wchodzą pakiety akcji 5 spółek. </w:t>
      </w:r>
      <w:r w:rsidRPr="00CE0814">
        <w:rPr>
          <w:rFonts w:ascii="Verdana" w:hAnsi="Verdana" w:cs="Arial"/>
          <w:sz w:val="20"/>
        </w:rPr>
        <w:br/>
        <w:t xml:space="preserve">W szczególnie uzasadnionych przypadkach dopuszcza się sytuację, </w:t>
      </w:r>
      <w:r w:rsidR="002B3BD8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>że w indeksie uczestniczy więcej lub mniej niż 5 spółek.</w:t>
      </w:r>
    </w:p>
    <w:p w:rsidR="002936FE" w:rsidRPr="00CE0814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 xml:space="preserve">Datami bazowymi indeksów </w:t>
      </w:r>
      <w:proofErr w:type="spellStart"/>
      <w:r w:rsidRPr="00CE0814">
        <w:rPr>
          <w:rFonts w:ascii="Verdana" w:hAnsi="Verdana" w:cs="Arial"/>
          <w:sz w:val="20"/>
        </w:rPr>
        <w:t>makrosektorowych</w:t>
      </w:r>
      <w:proofErr w:type="spellEnd"/>
      <w:r w:rsidRPr="00CE0814">
        <w:rPr>
          <w:rFonts w:ascii="Verdana" w:hAnsi="Verdana" w:cs="Arial"/>
          <w:sz w:val="20"/>
        </w:rPr>
        <w:t xml:space="preserve"> są:</w:t>
      </w:r>
    </w:p>
    <w:p w:rsidR="000C7D1A" w:rsidRPr="00CE0814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30 grudnia 2015 r. dla WIG.MS-BAS,</w:t>
      </w:r>
    </w:p>
    <w:p w:rsidR="000C7D1A" w:rsidRPr="00CE0814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 xml:space="preserve">30 grudnia 2015 r. dla WIG.MS-FIN, </w:t>
      </w:r>
    </w:p>
    <w:p w:rsidR="000C7D1A" w:rsidRPr="00CE0814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28 grudnia 2018 r. dla WIG.GAMES,</w:t>
      </w:r>
    </w:p>
    <w:p w:rsidR="002936FE" w:rsidRPr="00CE0814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</w:rPr>
        <w:t>29 grudnia 2017 r. dla WIG.MS-PET.</w:t>
      </w:r>
    </w:p>
    <w:p w:rsidR="002936FE" w:rsidRPr="00CE0814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Wartościami bazowymi indeksów </w:t>
      </w:r>
      <w:proofErr w:type="spellStart"/>
      <w:r w:rsidRPr="00CE0814">
        <w:rPr>
          <w:rFonts w:ascii="Verdana" w:hAnsi="Verdana" w:cs="Arial"/>
          <w:sz w:val="20"/>
        </w:rPr>
        <w:t>makrosektorowych</w:t>
      </w:r>
      <w:proofErr w:type="spellEnd"/>
      <w:r w:rsidRPr="00CE0814">
        <w:rPr>
          <w:rFonts w:ascii="Verdana" w:hAnsi="Verdana" w:cs="Arial"/>
          <w:sz w:val="20"/>
          <w:szCs w:val="20"/>
        </w:rPr>
        <w:t xml:space="preserve"> są:</w:t>
      </w:r>
    </w:p>
    <w:p w:rsidR="000C7D1A" w:rsidRPr="00CE0814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10000,00 punktów dla </w:t>
      </w:r>
      <w:r w:rsidRPr="00CE0814">
        <w:rPr>
          <w:rFonts w:ascii="Verdana" w:hAnsi="Verdana" w:cs="Arial"/>
          <w:sz w:val="20"/>
        </w:rPr>
        <w:t>WIG.MS-BAS</w:t>
      </w:r>
      <w:r w:rsidRPr="00CE0814">
        <w:rPr>
          <w:rFonts w:ascii="Verdana" w:hAnsi="Verdana" w:cs="Arial"/>
          <w:sz w:val="20"/>
          <w:szCs w:val="20"/>
        </w:rPr>
        <w:t>,</w:t>
      </w:r>
    </w:p>
    <w:p w:rsidR="000C7D1A" w:rsidRPr="00CE0814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10000,00 punktów dla </w:t>
      </w:r>
      <w:r w:rsidRPr="00CE0814">
        <w:rPr>
          <w:rFonts w:ascii="Verdana" w:hAnsi="Verdana" w:cs="Arial"/>
          <w:sz w:val="20"/>
        </w:rPr>
        <w:t>WIG.MS-FIN</w:t>
      </w:r>
      <w:r w:rsidRPr="00CE0814">
        <w:rPr>
          <w:rFonts w:ascii="Verdana" w:hAnsi="Verdana" w:cs="Arial"/>
          <w:sz w:val="20"/>
          <w:szCs w:val="20"/>
        </w:rPr>
        <w:t>,</w:t>
      </w:r>
    </w:p>
    <w:p w:rsidR="000C7D1A" w:rsidRPr="00CE0814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10000,00 punktów dla </w:t>
      </w:r>
      <w:r w:rsidRPr="00CE0814">
        <w:rPr>
          <w:rFonts w:ascii="Verdana" w:hAnsi="Verdana" w:cs="Arial"/>
          <w:sz w:val="20"/>
        </w:rPr>
        <w:t>WIG.GAMES</w:t>
      </w:r>
      <w:r w:rsidRPr="00CE0814">
        <w:rPr>
          <w:rFonts w:ascii="Verdana" w:hAnsi="Verdana" w:cs="Arial"/>
          <w:sz w:val="20"/>
          <w:szCs w:val="20"/>
        </w:rPr>
        <w:t>,</w:t>
      </w:r>
    </w:p>
    <w:p w:rsidR="002936FE" w:rsidRPr="00CE0814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10000,00 punktów dla </w:t>
      </w:r>
      <w:r w:rsidRPr="00CE0814">
        <w:rPr>
          <w:rFonts w:ascii="Verdana" w:hAnsi="Verdana" w:cs="Arial"/>
          <w:sz w:val="20"/>
        </w:rPr>
        <w:t>WIG.MS-PET.</w:t>
      </w:r>
    </w:p>
    <w:p w:rsidR="002936FE" w:rsidRPr="00CE0814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Indeksy </w:t>
      </w:r>
      <w:proofErr w:type="spellStart"/>
      <w:r w:rsidRPr="00CE0814">
        <w:rPr>
          <w:rFonts w:ascii="Verdana" w:hAnsi="Verdana" w:cs="Arial"/>
          <w:sz w:val="20"/>
        </w:rPr>
        <w:t>makrosektorowe</w:t>
      </w:r>
      <w:proofErr w:type="spellEnd"/>
      <w:r w:rsidRPr="00CE0814">
        <w:rPr>
          <w:rFonts w:ascii="Verdana" w:hAnsi="Verdana" w:cs="Arial"/>
          <w:sz w:val="20"/>
        </w:rPr>
        <w:t xml:space="preserve"> obliczane są bez uwzględniania dochodów z tytułu dywidend.</w:t>
      </w:r>
    </w:p>
    <w:p w:rsidR="002936FE" w:rsidRPr="00CE0814" w:rsidRDefault="002936FE" w:rsidP="000C7D1A">
      <w:pPr>
        <w:numPr>
          <w:ilvl w:val="0"/>
          <w:numId w:val="69"/>
        </w:numPr>
        <w:spacing w:after="120" w:line="360" w:lineRule="auto"/>
        <w:jc w:val="both"/>
        <w:rPr>
          <w:rFonts w:ascii="Verdana" w:hAnsi="Verdana" w:cs="Arial"/>
          <w:sz w:val="20"/>
        </w:rPr>
      </w:pPr>
      <w:r w:rsidRPr="00CE0814">
        <w:rPr>
          <w:rFonts w:ascii="Verdana" w:hAnsi="Verdana" w:cs="Arial"/>
          <w:sz w:val="20"/>
        </w:rPr>
        <w:t xml:space="preserve">W przypadku notowania akcji spółki po raz pierwszy „bez prawa poboru” </w:t>
      </w:r>
      <w:r w:rsidRPr="00CE0814">
        <w:rPr>
          <w:rFonts w:ascii="Verdana" w:hAnsi="Verdana" w:cs="Arial"/>
          <w:sz w:val="20"/>
        </w:rPr>
        <w:br/>
        <w:t xml:space="preserve">z kursem odniesienia, niższym niż ostatni kurs zamknięcia, pakiet akcji tej spółki nie jest uwzględniany na pierwszej sesji „bez prawa poboru” w portfelu indeksu. Zapowiedź przewidywanej zmiany w portfelu indeksu związanej </w:t>
      </w:r>
      <w:r w:rsidR="002B3BD8" w:rsidRPr="00CE0814">
        <w:rPr>
          <w:rFonts w:ascii="Verdana" w:hAnsi="Verdana" w:cs="Arial"/>
          <w:sz w:val="20"/>
        </w:rPr>
        <w:br/>
      </w:r>
      <w:r w:rsidRPr="00CE0814">
        <w:rPr>
          <w:rFonts w:ascii="Verdana" w:hAnsi="Verdana" w:cs="Arial"/>
          <w:sz w:val="20"/>
        </w:rPr>
        <w:t xml:space="preserve">z niniejszą operacją może zostać podana do publicznej wiadomości na 1 dzień przed dniem ostatniego notowania akcji danej spółki z prawem poboru. Informacje o przeprowadzeniu niniejszej operacji podawane są do publicznej wiadomości po zakończeniu sesji, podczas której akcje tej spółki były po raz ostatni notowane z prawem poboru. </w:t>
      </w:r>
    </w:p>
    <w:p w:rsidR="002936FE" w:rsidRPr="00CE0814" w:rsidRDefault="002936FE" w:rsidP="00293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 w:hanging="284"/>
        <w:jc w:val="center"/>
        <w:outlineLvl w:val="0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>§ 44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Po sesji trzeciego piątku marca, czerwca, września i grudnia przeprowadzana jest rewizja kwartalna portfela indeksu </w:t>
      </w:r>
      <w:proofErr w:type="spellStart"/>
      <w:r w:rsidRPr="00CE0814">
        <w:rPr>
          <w:rFonts w:ascii="Verdana" w:hAnsi="Verdana"/>
          <w:sz w:val="20"/>
          <w:szCs w:val="20"/>
        </w:rPr>
        <w:t>makrosektorowego</w:t>
      </w:r>
      <w:proofErr w:type="spellEnd"/>
      <w:r w:rsidRPr="00CE0814">
        <w:rPr>
          <w:rFonts w:ascii="Verdana" w:hAnsi="Verdana"/>
          <w:sz w:val="20"/>
          <w:szCs w:val="20"/>
        </w:rPr>
        <w:t>, której celem jest wyznaczenie nowych pakietów akcji.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Kwalifikacja spółek do indeksu </w:t>
      </w:r>
      <w:proofErr w:type="spellStart"/>
      <w:r w:rsidRPr="00CE0814">
        <w:rPr>
          <w:rFonts w:ascii="Verdana" w:hAnsi="Verdana"/>
          <w:sz w:val="20"/>
          <w:szCs w:val="20"/>
        </w:rPr>
        <w:t>makrosektorowego</w:t>
      </w:r>
      <w:proofErr w:type="spellEnd"/>
      <w:r w:rsidRPr="00CE0814">
        <w:rPr>
          <w:rFonts w:ascii="Verdana" w:hAnsi="Verdana"/>
          <w:sz w:val="20"/>
          <w:szCs w:val="20"/>
        </w:rPr>
        <w:t xml:space="preserve"> ma miejsce na podstawie ich pozycji w rankingu danego indeksu.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Ranking indeksu </w:t>
      </w:r>
      <w:proofErr w:type="spellStart"/>
      <w:r w:rsidRPr="00CE0814">
        <w:rPr>
          <w:rFonts w:ascii="Verdana" w:hAnsi="Verdana"/>
          <w:sz w:val="20"/>
          <w:szCs w:val="20"/>
        </w:rPr>
        <w:t>makrosektorowego</w:t>
      </w:r>
      <w:proofErr w:type="spellEnd"/>
      <w:r w:rsidRPr="00CE0814">
        <w:rPr>
          <w:rFonts w:ascii="Verdana" w:hAnsi="Verdana"/>
          <w:sz w:val="20"/>
          <w:szCs w:val="20"/>
        </w:rPr>
        <w:t xml:space="preserve"> sporządzany jest według stanu na koniec lutego, maja, sierpnia i listopada, a przy jego sporządzeniu bierze się pod uwagę średni </w:t>
      </w:r>
      <w:proofErr w:type="spellStart"/>
      <w:r w:rsidRPr="00CE0814">
        <w:rPr>
          <w:rFonts w:ascii="Verdana" w:hAnsi="Verdana"/>
          <w:sz w:val="20"/>
          <w:szCs w:val="20"/>
        </w:rPr>
        <w:t>spread</w:t>
      </w:r>
      <w:proofErr w:type="spellEnd"/>
      <w:r w:rsidRPr="00CE0814">
        <w:rPr>
          <w:rFonts w:ascii="Verdana" w:hAnsi="Verdana"/>
          <w:sz w:val="20"/>
          <w:szCs w:val="20"/>
        </w:rPr>
        <w:t xml:space="preserve"> </w:t>
      </w:r>
      <w:r w:rsidRPr="00CE0814">
        <w:rPr>
          <w:rFonts w:ascii="Verdana" w:hAnsi="Verdana"/>
          <w:sz w:val="20"/>
          <w:szCs w:val="20"/>
          <w:lang w:eastAsia="en-US"/>
        </w:rPr>
        <w:t xml:space="preserve">ważony wartością obrotów </w:t>
      </w:r>
      <w:r w:rsidRPr="00CE0814">
        <w:rPr>
          <w:rFonts w:ascii="Verdana" w:hAnsi="Verdana"/>
          <w:sz w:val="20"/>
          <w:szCs w:val="20"/>
        </w:rPr>
        <w:t xml:space="preserve">oraz średnią dzienną liczbę transakcji, obliczane za okres ostatnich 12 miesięcy (z uwzględnieniem miesiąca, w którym sporządza się ranking). 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W rankingu indeksu </w:t>
      </w:r>
      <w:proofErr w:type="spellStart"/>
      <w:r w:rsidRPr="00CE0814">
        <w:rPr>
          <w:rFonts w:ascii="Verdana" w:hAnsi="Verdana"/>
          <w:sz w:val="20"/>
          <w:szCs w:val="20"/>
        </w:rPr>
        <w:t>makrosektorowego</w:t>
      </w:r>
      <w:proofErr w:type="spellEnd"/>
      <w:r w:rsidRPr="00CE0814">
        <w:rPr>
          <w:rFonts w:ascii="Verdana" w:hAnsi="Verdana"/>
          <w:sz w:val="20"/>
          <w:szCs w:val="20"/>
        </w:rPr>
        <w:t xml:space="preserve"> najwyższe pozycje zajmują spółki </w:t>
      </w:r>
      <w:r w:rsidRPr="00CE0814">
        <w:rPr>
          <w:rFonts w:ascii="Verdana" w:hAnsi="Verdana"/>
          <w:sz w:val="20"/>
          <w:szCs w:val="20"/>
        </w:rPr>
        <w:br/>
        <w:t xml:space="preserve">o najniższym średnim </w:t>
      </w:r>
      <w:proofErr w:type="spellStart"/>
      <w:r w:rsidRPr="00CE0814">
        <w:rPr>
          <w:rFonts w:ascii="Verdana" w:hAnsi="Verdana"/>
          <w:sz w:val="20"/>
          <w:szCs w:val="20"/>
        </w:rPr>
        <w:t>spreadzie</w:t>
      </w:r>
      <w:proofErr w:type="spellEnd"/>
      <w:r w:rsidRPr="00CE0814">
        <w:rPr>
          <w:rFonts w:ascii="Verdana" w:hAnsi="Verdana"/>
          <w:sz w:val="20"/>
          <w:szCs w:val="20"/>
        </w:rPr>
        <w:t xml:space="preserve"> i najwyższej średniej liczbie transakcji, </w:t>
      </w:r>
      <w:r w:rsidRPr="00CE0814">
        <w:rPr>
          <w:rFonts w:ascii="Verdana" w:hAnsi="Verdana"/>
          <w:sz w:val="20"/>
          <w:szCs w:val="20"/>
        </w:rPr>
        <w:br/>
        <w:t xml:space="preserve">o których mowa w ust. 3. 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 W skład portfela danego indeksu </w:t>
      </w:r>
      <w:proofErr w:type="spellStart"/>
      <w:r w:rsidRPr="00CE0814">
        <w:rPr>
          <w:rFonts w:ascii="Verdana" w:hAnsi="Verdana"/>
          <w:sz w:val="20"/>
          <w:szCs w:val="20"/>
        </w:rPr>
        <w:t>makrosektorowego</w:t>
      </w:r>
      <w:proofErr w:type="spellEnd"/>
      <w:r w:rsidRPr="00CE0814">
        <w:rPr>
          <w:rFonts w:ascii="Verdana" w:hAnsi="Verdana"/>
          <w:sz w:val="20"/>
          <w:szCs w:val="20"/>
        </w:rPr>
        <w:t xml:space="preserve"> wchodzą spółki, które zajęły najwyższe pozycje w rankingu tego indeksu.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W przypadku identycznej liczby punktów w rankingu dla dwóch lub większej liczby spółek, w skład portfela indeksu wchodzi spółka, której akcjami, </w:t>
      </w:r>
      <w:r w:rsidRPr="00CE0814">
        <w:rPr>
          <w:rFonts w:ascii="Verdana" w:hAnsi="Verdana"/>
          <w:sz w:val="20"/>
          <w:szCs w:val="20"/>
        </w:rPr>
        <w:br/>
        <w:t>w okresie za który sporządzony został ranking, została zawarta największa liczba transakcji giełdowych.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 xml:space="preserve">Pakiet akcji wchodzący w skład portfela indeksu </w:t>
      </w:r>
      <w:proofErr w:type="spellStart"/>
      <w:r w:rsidRPr="00CE0814">
        <w:rPr>
          <w:rFonts w:ascii="Verdana" w:hAnsi="Verdana"/>
          <w:sz w:val="20"/>
          <w:szCs w:val="20"/>
        </w:rPr>
        <w:t>makrosektorowego</w:t>
      </w:r>
      <w:proofErr w:type="spellEnd"/>
      <w:r w:rsidRPr="00CE0814">
        <w:rPr>
          <w:rFonts w:ascii="Verdana" w:hAnsi="Verdana"/>
          <w:sz w:val="20"/>
          <w:szCs w:val="20"/>
        </w:rPr>
        <w:t xml:space="preserve"> wyznaczany jest według stanu na koniec lutego, maja, sierpnia i listopada.</w:t>
      </w:r>
    </w:p>
    <w:p w:rsidR="002936FE" w:rsidRPr="00CE0814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E0814">
        <w:rPr>
          <w:rFonts w:ascii="Verdana" w:hAnsi="Verdana"/>
          <w:sz w:val="20"/>
          <w:szCs w:val="20"/>
        </w:rPr>
        <w:t>Wielkość pakietu akcji jest redukowana proporcjonalnie na dzień rankingu, jeżeli wartość akcji danej spółki znajdująca się w portfelu indeksu przekracza 40% jego wartości.</w:t>
      </w:r>
    </w:p>
    <w:p w:rsidR="000C7D1A" w:rsidRPr="00CE0814" w:rsidRDefault="000C7D1A" w:rsidP="000C7D1A">
      <w:pPr>
        <w:numPr>
          <w:ilvl w:val="0"/>
          <w:numId w:val="7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CE0814">
        <w:rPr>
          <w:rFonts w:ascii="Verdana" w:hAnsi="Verdana"/>
          <w:sz w:val="20"/>
          <w:szCs w:val="20"/>
          <w:lang w:eastAsia="en-US"/>
        </w:rPr>
        <w:t xml:space="preserve">Średni </w:t>
      </w:r>
      <w:proofErr w:type="spellStart"/>
      <w:r w:rsidRPr="00CE0814">
        <w:rPr>
          <w:rFonts w:ascii="Verdana" w:hAnsi="Verdana"/>
          <w:sz w:val="20"/>
          <w:szCs w:val="20"/>
          <w:lang w:eastAsia="en-US"/>
        </w:rPr>
        <w:t>spread</w:t>
      </w:r>
      <w:proofErr w:type="spellEnd"/>
      <w:r w:rsidRPr="00CE0814">
        <w:rPr>
          <w:rFonts w:ascii="Verdana" w:hAnsi="Verdana"/>
          <w:sz w:val="20"/>
          <w:szCs w:val="20"/>
          <w:lang w:eastAsia="en-US"/>
        </w:rPr>
        <w:t xml:space="preserve"> ważony wartością obrotów, o którym mowa w ust. 3 i 4, oblicza się zgodnie z następującym wzorem: </w:t>
      </w:r>
    </w:p>
    <w:p w:rsidR="000C7D1A" w:rsidRPr="00CE0814" w:rsidRDefault="000C7D1A" w:rsidP="000C7D1A">
      <w:pPr>
        <w:spacing w:line="360" w:lineRule="auto"/>
        <w:ind w:left="425"/>
        <w:jc w:val="both"/>
        <w:rPr>
          <w:rFonts w:ascii="Calibri" w:hAnsi="Calibri"/>
          <w:sz w:val="22"/>
          <w:szCs w:val="22"/>
        </w:rPr>
      </w:pPr>
    </w:p>
    <w:p w:rsidR="000C7D1A" w:rsidRPr="00CE0814" w:rsidRDefault="000C7D1A" w:rsidP="000C7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9"/>
        <w:jc w:val="both"/>
        <w:outlineLvl w:val="0"/>
        <w:rPr>
          <w:rFonts w:ascii="Verdana" w:hAnsi="Verdana" w:cs="Arial"/>
          <w:sz w:val="20"/>
          <w:szCs w:val="20"/>
          <w:lang w:val="de-D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0C7D1A" w:rsidRPr="00CE0814" w:rsidRDefault="000C7D1A" w:rsidP="000C7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outlineLvl w:val="0"/>
        <w:rPr>
          <w:rFonts w:ascii="Verdana" w:hAnsi="Verdana" w:cs="Arial"/>
          <w:sz w:val="20"/>
          <w:szCs w:val="20"/>
          <w:vertAlign w:val="subscript"/>
        </w:rPr>
      </w:pPr>
      <w:r w:rsidRPr="00CE0814">
        <w:rPr>
          <w:rFonts w:ascii="Verdana" w:hAnsi="Verdana" w:cs="Arial"/>
          <w:sz w:val="20"/>
          <w:szCs w:val="20"/>
          <w:lang w:val="de-DE"/>
        </w:rPr>
        <w:tab/>
        <w:t xml:space="preserve">   </w:t>
      </w:r>
    </w:p>
    <w:p w:rsidR="000C7D1A" w:rsidRPr="00CE0814" w:rsidRDefault="000C7D1A" w:rsidP="000C7D1A">
      <w:pPr>
        <w:tabs>
          <w:tab w:val="left" w:pos="720"/>
        </w:tabs>
        <w:rPr>
          <w:rFonts w:ascii="Calibri" w:eastAsia="Calibri" w:hAnsi="Calibri"/>
          <w:sz w:val="22"/>
          <w:szCs w:val="22"/>
          <w:lang w:eastAsia="en-US"/>
        </w:rPr>
      </w:pPr>
    </w:p>
    <w:p w:rsidR="000C7D1A" w:rsidRPr="00CE0814" w:rsidRDefault="000C7D1A" w:rsidP="000C7D1A">
      <w:pPr>
        <w:tabs>
          <w:tab w:val="left" w:pos="720"/>
        </w:tabs>
        <w:ind w:left="851" w:hanging="142"/>
        <w:rPr>
          <w:rFonts w:ascii="Verdana" w:eastAsia="Calibri" w:hAnsi="Verdana" w:cs="Arial"/>
          <w:i/>
          <w:sz w:val="20"/>
          <w:szCs w:val="22"/>
          <w:lang w:val="de-DE" w:eastAsia="en-US"/>
        </w:rPr>
      </w:pPr>
      <w:proofErr w:type="spellStart"/>
      <w:r w:rsidRPr="00CE0814">
        <w:rPr>
          <w:rFonts w:ascii="Verdana" w:eastAsia="Calibri" w:hAnsi="Verdana" w:cs="Arial"/>
          <w:i/>
          <w:sz w:val="20"/>
          <w:szCs w:val="22"/>
          <w:lang w:val="de-DE" w:eastAsia="en-US"/>
        </w:rPr>
        <w:t>gdzie</w:t>
      </w:r>
      <w:proofErr w:type="spellEnd"/>
      <w:r w:rsidRPr="00CE0814">
        <w:rPr>
          <w:rFonts w:ascii="Verdana" w:eastAsia="Calibri" w:hAnsi="Verdana" w:cs="Arial"/>
          <w:i/>
          <w:sz w:val="20"/>
          <w:szCs w:val="22"/>
          <w:lang w:val="de-DE" w:eastAsia="en-US"/>
        </w:rPr>
        <w:t>:</w:t>
      </w:r>
    </w:p>
    <w:p w:rsidR="000C7D1A" w:rsidRPr="00CE0814" w:rsidRDefault="000C7D1A" w:rsidP="000C7D1A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0C7D1A" w:rsidRPr="00CE0814" w:rsidRDefault="000C7D1A" w:rsidP="000C7D1A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0C7D1A" w:rsidRPr="00CE0814" w:rsidRDefault="00C628E0" w:rsidP="000C7D1A">
      <w:pPr>
        <w:tabs>
          <w:tab w:val="left" w:pos="720"/>
        </w:tabs>
        <w:ind w:left="709"/>
        <w:rPr>
          <w:rFonts w:ascii="Verdana" w:eastAsia="Calibri" w:hAnsi="Verdana" w:cs="Arial"/>
          <w:i/>
          <w:sz w:val="20"/>
          <w:szCs w:val="22"/>
          <w:lang w:val="de-DE"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Arial"/>
                  <w:i/>
                  <w:sz w:val="20"/>
                  <w:szCs w:val="22"/>
                  <w:lang w:val="de-DE"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0"/>
                  <w:szCs w:val="22"/>
                  <w:lang w:val="de-DE" w:eastAsia="en-US"/>
                </w:rPr>
                <m:t>S</m:t>
              </m:r>
            </m:e>
            <m:sub>
              <m:r>
                <w:rPr>
                  <w:rFonts w:ascii="Cambria Math" w:eastAsia="Calibri" w:hAnsi="Cambria Math" w:cs="Arial"/>
                  <w:sz w:val="20"/>
                  <w:szCs w:val="22"/>
                  <w:lang w:val="de-DE" w:eastAsia="en-US"/>
                </w:rPr>
                <m:t>i</m:t>
              </m:r>
            </m:sub>
          </m:sSub>
          <m:r>
            <w:rPr>
              <w:rFonts w:ascii="Cambria Math" w:eastAsia="Calibri" w:hAnsi="Cambria Math" w:cs="Arial"/>
              <w:sz w:val="20"/>
              <w:szCs w:val="22"/>
              <w:lang w:val="de-DE" w:eastAsia="en-US"/>
            </w:rPr>
            <m:t>=20000*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i/>
                  <w:sz w:val="20"/>
                  <w:szCs w:val="22"/>
                  <w:lang w:val="de-DE"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2"/>
                      <w:lang w:val="de-DE" w:eastAsia="en-US"/>
                    </w:rPr>
                    <m:t>k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b</m:t>
                      </m:r>
                    </m:e>
                  </m:d>
                  <m:r>
                    <w:rPr>
                      <w:rFonts w:ascii="Cambria Math" w:eastAsia="Calibri" w:hAnsi="Cambria Math" w:cs="Arial"/>
                      <w:sz w:val="20"/>
                      <w:szCs w:val="22"/>
                      <w:lang w:val="de-DE" w:eastAsia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2"/>
                              <w:lang w:val="de-DE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2"/>
                              <w:lang w:val="de-DE" w:eastAsia="en-US"/>
                            </w:rPr>
                            <m:t>k+s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2"/>
                              <w:lang w:val="de-DE" w:eastAsia="en-US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k+s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2</m:t>
                      </m:r>
                    </m:den>
                  </m:f>
                </m:den>
              </m:f>
            </m:e>
          </m:d>
        </m:oMath>
      </m:oMathPara>
    </w:p>
    <w:p w:rsidR="000C7D1A" w:rsidRPr="00CE0814" w:rsidRDefault="000C7D1A" w:rsidP="000C7D1A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0C7D1A" w:rsidRPr="00CE0814" w:rsidRDefault="000C7D1A" w:rsidP="000C7D1A">
      <w:pPr>
        <w:tabs>
          <w:tab w:val="left" w:pos="720"/>
        </w:tabs>
        <w:rPr>
          <w:rFonts w:ascii="Calibri" w:eastAsia="Calibri" w:hAnsi="Calibri"/>
          <w:sz w:val="22"/>
          <w:szCs w:val="22"/>
          <w:lang w:eastAsia="en-US"/>
        </w:rPr>
      </w:pPr>
      <w:r w:rsidRPr="00CE0814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CE0814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CE0814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0C7D1A" w:rsidRPr="00CE0814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proofErr w:type="spellStart"/>
      <w:r w:rsidRPr="00CE0814">
        <w:rPr>
          <w:rFonts w:ascii="Verdana" w:eastAsia="Calibri" w:hAnsi="Verdana" w:cs="Consolas"/>
          <w:i/>
          <w:sz w:val="18"/>
          <w:szCs w:val="18"/>
          <w:lang w:eastAsia="en-US"/>
        </w:rPr>
        <w:t>O</w:t>
      </w:r>
      <w:r w:rsidRPr="00CE0814">
        <w:rPr>
          <w:rFonts w:ascii="Verdana" w:eastAsia="Calibri" w:hAnsi="Verdana" w:cs="Consolas"/>
          <w:i/>
          <w:sz w:val="18"/>
          <w:szCs w:val="18"/>
          <w:vertAlign w:val="subscript"/>
          <w:lang w:eastAsia="en-US"/>
        </w:rPr>
        <w:t>i</w:t>
      </w:r>
      <w:proofErr w:type="spellEnd"/>
      <w:r w:rsidRPr="00CE0814">
        <w:rPr>
          <w:rFonts w:ascii="Verdana" w:eastAsia="Calibri" w:hAnsi="Verdana" w:cs="Consolas"/>
          <w:i/>
          <w:sz w:val="18"/>
          <w:szCs w:val="18"/>
          <w:vertAlign w:val="subscript"/>
          <w:lang w:eastAsia="en-US"/>
        </w:rPr>
        <w:t xml:space="preserve"> </w:t>
      </w:r>
      <w:r w:rsidRPr="00CE0814">
        <w:rPr>
          <w:rFonts w:ascii="Verdana" w:eastAsia="Calibri" w:hAnsi="Verdana" w:cs="Consolas"/>
          <w:i/>
          <w:sz w:val="18"/>
          <w:szCs w:val="18"/>
          <w:lang w:eastAsia="en-US"/>
        </w:rPr>
        <w:t>– wartość i-tej transakcji</w:t>
      </w:r>
    </w:p>
    <w:p w:rsidR="000C7D1A" w:rsidRPr="00CE0814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CE0814">
        <w:rPr>
          <w:rFonts w:ascii="Verdana" w:eastAsia="Calibri" w:hAnsi="Verdana" w:cs="Consolas"/>
          <w:i/>
          <w:sz w:val="18"/>
          <w:szCs w:val="18"/>
          <w:lang w:eastAsia="en-US"/>
        </w:rPr>
        <w:t xml:space="preserve">k(b) – kurs bieżący i-tej transakcji </w:t>
      </w:r>
    </w:p>
    <w:p w:rsidR="000C7D1A" w:rsidRPr="00CE0814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CE0814">
        <w:rPr>
          <w:rFonts w:ascii="Verdana" w:eastAsia="Calibri" w:hAnsi="Verdana" w:cs="Consolas"/>
          <w:i/>
          <w:sz w:val="18"/>
          <w:szCs w:val="18"/>
          <w:lang w:eastAsia="en-US"/>
        </w:rPr>
        <w:t>k – najlepsza oferta kupna przed zawarciem i-tej transakcji</w:t>
      </w:r>
    </w:p>
    <w:p w:rsidR="000C7D1A" w:rsidRPr="00CE0814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20"/>
          <w:szCs w:val="20"/>
          <w:lang w:eastAsia="en-US"/>
        </w:rPr>
      </w:pPr>
      <w:r w:rsidRPr="00CE0814">
        <w:rPr>
          <w:rFonts w:ascii="Verdana" w:eastAsia="Calibri" w:hAnsi="Verdana" w:cs="Consolas"/>
          <w:i/>
          <w:sz w:val="18"/>
          <w:szCs w:val="18"/>
          <w:lang w:eastAsia="en-US"/>
        </w:rPr>
        <w:t>s – najlepsza oferta sprzedaży przed zawarciem i–tej transakcji</w:t>
      </w:r>
      <w:r w:rsidRPr="00CE0814">
        <w:rPr>
          <w:rFonts w:ascii="Verdana" w:eastAsia="Calibri" w:hAnsi="Verdana" w:cs="Consolas"/>
          <w:i/>
          <w:sz w:val="18"/>
          <w:szCs w:val="18"/>
          <w:lang w:eastAsia="en-US"/>
        </w:rPr>
        <w:br/>
      </w:r>
      <w:r w:rsidRPr="00CE0814">
        <w:rPr>
          <w:rFonts w:ascii="Verdana" w:eastAsia="Calibri" w:hAnsi="Verdana" w:cs="Consolas"/>
          <w:i/>
          <w:sz w:val="20"/>
          <w:szCs w:val="20"/>
          <w:lang w:eastAsia="en-US"/>
        </w:rPr>
        <w:br/>
      </w:r>
    </w:p>
    <w:p w:rsidR="000C7D1A" w:rsidRPr="00CE0814" w:rsidRDefault="000C7D1A" w:rsidP="002936F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</w:p>
    <w:p w:rsidR="000C7D1A" w:rsidRPr="00CE0814" w:rsidRDefault="000C7D1A" w:rsidP="002936F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</w:p>
    <w:p w:rsidR="002936FE" w:rsidRPr="00CE0814" w:rsidRDefault="002936FE" w:rsidP="002936F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45</w:t>
      </w:r>
    </w:p>
    <w:p w:rsidR="002936FE" w:rsidRPr="00CE0814" w:rsidRDefault="002936FE" w:rsidP="000C7D1A">
      <w:pPr>
        <w:numPr>
          <w:ilvl w:val="0"/>
          <w:numId w:val="7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W przypadku zawieszenia obrotu akcjami danej spółki na żądanie Komisji Nadzoru Finansowego może zostać przeprowadzona nadzwyczajna korekta uczestników indeksów </w:t>
      </w:r>
      <w:proofErr w:type="spellStart"/>
      <w:r w:rsidRPr="00CE0814">
        <w:rPr>
          <w:rFonts w:ascii="Verdana" w:hAnsi="Verdana" w:cs="Arial"/>
          <w:sz w:val="20"/>
          <w:szCs w:val="20"/>
        </w:rPr>
        <w:t>makrosektorowych</w:t>
      </w:r>
      <w:proofErr w:type="spellEnd"/>
      <w:r w:rsidRPr="00CE0814">
        <w:rPr>
          <w:rFonts w:ascii="Verdana" w:hAnsi="Verdana" w:cs="Arial"/>
          <w:sz w:val="20"/>
          <w:szCs w:val="20"/>
        </w:rPr>
        <w:t>.</w:t>
      </w:r>
    </w:p>
    <w:p w:rsidR="002936FE" w:rsidRPr="00CE0814" w:rsidRDefault="002936FE" w:rsidP="000C7D1A">
      <w:pPr>
        <w:numPr>
          <w:ilvl w:val="0"/>
          <w:numId w:val="7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W przypadku zawieszenia obrotu, o którym mowa w ust. 1, dana spółka może zostać niezwłocznie skreślona z listy uczestników indeksu, bez jej zastępowania inną spółką, z zastrzeżeniem ust. 3 i 4.</w:t>
      </w:r>
    </w:p>
    <w:p w:rsidR="002936FE" w:rsidRPr="00CE0814" w:rsidRDefault="002936FE" w:rsidP="000C7D1A">
      <w:pPr>
        <w:numPr>
          <w:ilvl w:val="0"/>
          <w:numId w:val="7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Jeżeli przed upływem 10 dni sesyjnych zawieszenia obrotu, o którym mowa </w:t>
      </w:r>
      <w:r w:rsidRPr="00CE0814">
        <w:rPr>
          <w:rFonts w:ascii="Verdana" w:hAnsi="Verdana" w:cs="Arial"/>
          <w:sz w:val="20"/>
          <w:szCs w:val="20"/>
        </w:rPr>
        <w:br/>
        <w:t>w ust. 1, nastąpi wznowienie obrotu akcjami spółki skreślonej z listy uczestników indeksu spółka ta podlega niezwłocznie ponownemu wpisaniu na tę listę.</w:t>
      </w:r>
    </w:p>
    <w:p w:rsidR="002936FE" w:rsidRPr="00CE0814" w:rsidRDefault="002936FE" w:rsidP="000C7D1A">
      <w:pPr>
        <w:numPr>
          <w:ilvl w:val="0"/>
          <w:numId w:val="7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4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Po upływie 10 dni sesyjnych zawieszenia obrotu, o którym mowa w ust. 1, miejsce spółki skreślonej z listy uczestników indeksu zajmuje niezwłocznie spółka, która znalazła się w ostatnim rankingu indeksu na najwyższej pozycji, ale nie została do tego indeksu zakwalifikowana.</w:t>
      </w:r>
    </w:p>
    <w:p w:rsidR="002936FE" w:rsidRPr="00CE0814" w:rsidRDefault="002936FE" w:rsidP="002936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785" w:hanging="785"/>
        <w:jc w:val="center"/>
        <w:outlineLvl w:val="0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§ 46</w:t>
      </w:r>
    </w:p>
    <w:p w:rsidR="002936FE" w:rsidRPr="00CE0814" w:rsidRDefault="002936FE" w:rsidP="000C7D1A">
      <w:pPr>
        <w:numPr>
          <w:ilvl w:val="0"/>
          <w:numId w:val="7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W szczególnych przypadkach może zostać przeprowadzona nadzwyczajna korekta uczestników indeksu w celu skreślenia spółki z listy uczestników indeksu </w:t>
      </w:r>
      <w:proofErr w:type="spellStart"/>
      <w:r w:rsidRPr="00CE0814">
        <w:rPr>
          <w:rFonts w:ascii="Verdana" w:hAnsi="Verdana" w:cs="Arial"/>
          <w:sz w:val="20"/>
          <w:szCs w:val="20"/>
        </w:rPr>
        <w:t>makrosektorowego</w:t>
      </w:r>
      <w:proofErr w:type="spellEnd"/>
      <w:r w:rsidRPr="00CE0814">
        <w:rPr>
          <w:rFonts w:ascii="Verdana" w:hAnsi="Verdana" w:cs="Arial"/>
          <w:sz w:val="20"/>
          <w:szCs w:val="20"/>
        </w:rPr>
        <w:t>.</w:t>
      </w:r>
    </w:p>
    <w:p w:rsidR="003E077C" w:rsidRPr="00CE0814" w:rsidRDefault="002936FE" w:rsidP="000C7D1A">
      <w:pPr>
        <w:numPr>
          <w:ilvl w:val="0"/>
          <w:numId w:val="75"/>
        </w:num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right="144"/>
        <w:jc w:val="both"/>
        <w:outlineLvl w:val="0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W przypadku dokonania korekty nadzwyczajnej miejsce spółki skreślonej </w:t>
      </w:r>
      <w:r w:rsidR="008866E3" w:rsidRPr="00CE0814">
        <w:rPr>
          <w:rFonts w:ascii="Verdana" w:hAnsi="Verdana" w:cs="Arial"/>
          <w:sz w:val="20"/>
          <w:szCs w:val="20"/>
        </w:rPr>
        <w:br/>
      </w:r>
      <w:r w:rsidRPr="00CE0814">
        <w:rPr>
          <w:rFonts w:ascii="Verdana" w:hAnsi="Verdana" w:cs="Arial"/>
          <w:sz w:val="20"/>
          <w:szCs w:val="20"/>
        </w:rPr>
        <w:t xml:space="preserve">z listy uczestników indeksu zajmuje spółka, która znalazła się w ostatnim rankingu indeksu na najwyższej pozycji, ale nie została do tego indeksu zakwalifikowana. </w:t>
      </w:r>
    </w:p>
    <w:p w:rsidR="003E077C" w:rsidRPr="00CE0814" w:rsidRDefault="003E07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ROZDZIAŁ VI</w:t>
      </w:r>
      <w:r w:rsidR="00824198" w:rsidRPr="00CE0814">
        <w:rPr>
          <w:rFonts w:ascii="Verdana" w:hAnsi="Verdana" w:cs="Arial"/>
          <w:sz w:val="20"/>
          <w:lang w:val="pl-PL"/>
        </w:rPr>
        <w:t>I</w:t>
      </w:r>
      <w:r w:rsidR="0095128E" w:rsidRPr="00CE0814">
        <w:rPr>
          <w:rFonts w:ascii="Verdana" w:hAnsi="Verdana" w:cs="Arial"/>
          <w:sz w:val="20"/>
          <w:lang w:val="pl-PL"/>
        </w:rPr>
        <w:t>I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Przepisy końcowe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FC6837" w:rsidRPr="00CE0814">
        <w:rPr>
          <w:rFonts w:ascii="Verdana" w:hAnsi="Verdana" w:cs="Arial"/>
          <w:sz w:val="20"/>
          <w:lang w:val="pl-PL"/>
        </w:rPr>
        <w:t>4</w:t>
      </w:r>
      <w:r w:rsidR="003E077C" w:rsidRPr="00CE0814">
        <w:rPr>
          <w:rFonts w:ascii="Verdana" w:hAnsi="Verdana" w:cs="Arial"/>
          <w:sz w:val="20"/>
          <w:lang w:val="pl-PL"/>
        </w:rPr>
        <w:t>7</w:t>
      </w:r>
    </w:p>
    <w:p w:rsidR="00DD4B7C" w:rsidRPr="00CE0814" w:rsidRDefault="00DD4B7C" w:rsidP="00DD4B7C">
      <w:pPr>
        <w:spacing w:after="12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Liczbę akcji w wolnym obrocie dla potrzeb zarządzania portfelami indeksów giełdowych ustala się </w:t>
      </w:r>
      <w:r w:rsidRPr="00CE0814">
        <w:rPr>
          <w:rFonts w:ascii="Verdana" w:hAnsi="Verdana" w:cs="Arial"/>
          <w:bCs/>
          <w:sz w:val="20"/>
          <w:szCs w:val="20"/>
        </w:rPr>
        <w:t xml:space="preserve">zgodnie z postanowieniami Uchwały Nr 159/2007 Zarządu Giełdy Papierów Wartościowych w Warszawie S.A. z dnia 7 marca 2007 r. (z </w:t>
      </w:r>
      <w:proofErr w:type="spellStart"/>
      <w:r w:rsidRPr="00CE0814">
        <w:rPr>
          <w:rFonts w:ascii="Verdana" w:hAnsi="Verdana" w:cs="Arial"/>
          <w:bCs/>
          <w:sz w:val="20"/>
          <w:szCs w:val="20"/>
        </w:rPr>
        <w:t>późn</w:t>
      </w:r>
      <w:proofErr w:type="spellEnd"/>
      <w:r w:rsidRPr="00CE0814">
        <w:rPr>
          <w:rFonts w:ascii="Verdana" w:hAnsi="Verdana" w:cs="Arial"/>
          <w:bCs/>
          <w:sz w:val="20"/>
          <w:szCs w:val="20"/>
        </w:rPr>
        <w:t>. zm.).</w:t>
      </w:r>
    </w:p>
    <w:p w:rsidR="00DD4B7C" w:rsidRPr="00CE0814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FC6837" w:rsidRPr="00CE0814">
        <w:rPr>
          <w:rFonts w:ascii="Verdana" w:hAnsi="Verdana" w:cs="Arial"/>
          <w:sz w:val="20"/>
          <w:lang w:val="pl-PL"/>
        </w:rPr>
        <w:t>4</w:t>
      </w:r>
      <w:r w:rsidR="003E077C" w:rsidRPr="00CE0814">
        <w:rPr>
          <w:rFonts w:ascii="Verdana" w:hAnsi="Verdana" w:cs="Arial"/>
          <w:sz w:val="20"/>
          <w:lang w:val="pl-PL"/>
        </w:rPr>
        <w:t>8</w:t>
      </w:r>
    </w:p>
    <w:p w:rsidR="00DD4B7C" w:rsidRPr="00CE0814" w:rsidRDefault="00DD4B7C" w:rsidP="000C7D1A">
      <w:pPr>
        <w:pStyle w:val="Akapitzlist"/>
        <w:numPr>
          <w:ilvl w:val="0"/>
          <w:numId w:val="35"/>
        </w:numPr>
        <w:spacing w:line="360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Na potrzeby niniejszej uchwały wartości wyrażane w innej walucie niż złoty ustalane są przy zastosowaniu ogłoszonego przez Narodowy Bank Polski bieżącego kursu średniego danej waluty z dnia poprzedzającego dzień ustalenia tych wartości.</w:t>
      </w:r>
    </w:p>
    <w:p w:rsidR="00DD4B7C" w:rsidRPr="00CE0814" w:rsidRDefault="00DD4B7C" w:rsidP="000C7D1A">
      <w:pPr>
        <w:pStyle w:val="Akapitzlist"/>
        <w:numPr>
          <w:ilvl w:val="0"/>
          <w:numId w:val="35"/>
        </w:numPr>
        <w:spacing w:line="360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 xml:space="preserve">Na potrzeby niniejszej uchwały przeliczanie na euro wartości wyrażonych w innej walucie niż złoty dokonywane jest poprzez przeliczenie wartości wyrażonych </w:t>
      </w:r>
      <w:r w:rsidR="00BE6F94" w:rsidRPr="00CE0814">
        <w:rPr>
          <w:rFonts w:ascii="Verdana" w:hAnsi="Verdana" w:cs="Arial"/>
          <w:sz w:val="20"/>
          <w:szCs w:val="20"/>
        </w:rPr>
        <w:br/>
      </w:r>
      <w:r w:rsidRPr="00CE0814">
        <w:rPr>
          <w:rFonts w:ascii="Verdana" w:hAnsi="Verdana" w:cs="Arial"/>
          <w:sz w:val="20"/>
          <w:szCs w:val="20"/>
        </w:rPr>
        <w:t>w walucie obcej innej niż euro na złote</w:t>
      </w:r>
      <w:r w:rsidR="005D0FF1" w:rsidRPr="00CE0814">
        <w:rPr>
          <w:rFonts w:ascii="Verdana" w:hAnsi="Verdana" w:cs="Arial"/>
          <w:sz w:val="20"/>
          <w:szCs w:val="20"/>
        </w:rPr>
        <w:t>,</w:t>
      </w:r>
      <w:r w:rsidRPr="00CE0814">
        <w:rPr>
          <w:rFonts w:ascii="Verdana" w:hAnsi="Verdana" w:cs="Arial"/>
          <w:sz w:val="20"/>
          <w:szCs w:val="20"/>
        </w:rPr>
        <w:t xml:space="preserve"> a następnie przeliczenie tej wartości </w:t>
      </w:r>
      <w:r w:rsidR="00BE6F94" w:rsidRPr="00CE0814">
        <w:rPr>
          <w:rFonts w:ascii="Verdana" w:hAnsi="Verdana" w:cs="Arial"/>
          <w:sz w:val="20"/>
          <w:szCs w:val="20"/>
        </w:rPr>
        <w:br/>
      </w:r>
      <w:r w:rsidRPr="00CE0814">
        <w:rPr>
          <w:rFonts w:ascii="Verdana" w:hAnsi="Verdana" w:cs="Arial"/>
          <w:sz w:val="20"/>
          <w:szCs w:val="20"/>
        </w:rPr>
        <w:t>ze złotych na euro. Przeliczanie odbywa się przy zastosowaniu ogłoszonego przez Narodowy Bank Polski bieżącego kursu średniego danej waluty z dnia poprzedzającego dzień przeliczenia.</w:t>
      </w:r>
    </w:p>
    <w:p w:rsidR="00DD4B7C" w:rsidRPr="00CE0814" w:rsidRDefault="00DD4B7C" w:rsidP="006B501C">
      <w:pPr>
        <w:pStyle w:val="Akapitzlist"/>
        <w:numPr>
          <w:ilvl w:val="0"/>
          <w:numId w:val="35"/>
        </w:numPr>
        <w:spacing w:after="120"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0814">
        <w:rPr>
          <w:rFonts w:ascii="Verdana" w:hAnsi="Verdana" w:cs="Arial"/>
          <w:sz w:val="20"/>
          <w:szCs w:val="20"/>
        </w:rPr>
        <w:t>Jeżeli bieżący kurs średni danej waluty, o którym mowa w ust. 1 lub 2 nie został ogłoszony, do ustalenia wartości, o których mowa w ust. 1 i 2 stosuje się ostatni ogłoszony przez Narodowy Bank Polski bieżący kurs średni tej waluty.</w:t>
      </w:r>
    </w:p>
    <w:p w:rsidR="00DD4B7C" w:rsidRPr="00CE0814" w:rsidRDefault="00DD4B7C" w:rsidP="000C7D1A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§ </w:t>
      </w:r>
      <w:r w:rsidR="00FC6837" w:rsidRPr="00CE0814">
        <w:rPr>
          <w:rFonts w:ascii="Verdana" w:hAnsi="Verdana" w:cs="Arial"/>
          <w:sz w:val="20"/>
          <w:lang w:val="pl-PL"/>
        </w:rPr>
        <w:t>4</w:t>
      </w:r>
      <w:r w:rsidR="003E077C" w:rsidRPr="00CE0814">
        <w:rPr>
          <w:rFonts w:ascii="Verdana" w:hAnsi="Verdana" w:cs="Arial"/>
          <w:sz w:val="20"/>
          <w:lang w:val="pl-PL"/>
        </w:rPr>
        <w:t>9</w:t>
      </w:r>
      <w:r w:rsidRPr="00CE0814">
        <w:rPr>
          <w:rFonts w:ascii="Verdana" w:hAnsi="Verdana" w:cs="Arial"/>
          <w:sz w:val="20"/>
          <w:lang w:val="pl-PL"/>
        </w:rPr>
        <w:t xml:space="preserve"> </w:t>
      </w:r>
    </w:p>
    <w:p w:rsidR="00DD4B7C" w:rsidRPr="00CE0814" w:rsidRDefault="00DD4B7C" w:rsidP="000C7D1A">
      <w:pPr>
        <w:pStyle w:val="Tekstpodstawowy1"/>
        <w:numPr>
          <w:ilvl w:val="0"/>
          <w:numId w:val="2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 xml:space="preserve">Mając na uwadze bezpieczeństwo obrotu i interes jego uczestników Giełda, </w:t>
      </w:r>
      <w:r w:rsidR="00BE6F94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 xml:space="preserve">po zasięgnięciu opinii Komitetu Indeksów Giełdowych, może odstąpić </w:t>
      </w:r>
      <w:r w:rsidR="00A726B8" w:rsidRPr="00CE0814">
        <w:rPr>
          <w:rFonts w:ascii="Verdana" w:hAnsi="Verdana" w:cs="Arial"/>
          <w:sz w:val="20"/>
          <w:lang w:val="pl-PL"/>
        </w:rPr>
        <w:br/>
      </w:r>
      <w:r w:rsidRPr="00CE0814">
        <w:rPr>
          <w:rFonts w:ascii="Verdana" w:hAnsi="Verdana" w:cs="Arial"/>
          <w:sz w:val="20"/>
          <w:lang w:val="pl-PL"/>
        </w:rPr>
        <w:t>od stosowania poszczególnych regulacji określonych w niniejszej uchwale.</w:t>
      </w:r>
    </w:p>
    <w:p w:rsidR="00BB73E4" w:rsidRPr="00CE0814" w:rsidRDefault="00DD4B7C" w:rsidP="000C7D1A">
      <w:pPr>
        <w:pStyle w:val="Tekstpodstawowy1"/>
        <w:numPr>
          <w:ilvl w:val="0"/>
          <w:numId w:val="2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CE0814">
        <w:rPr>
          <w:rFonts w:ascii="Verdana" w:hAnsi="Verdana" w:cs="Arial"/>
          <w:sz w:val="20"/>
          <w:lang w:val="pl-PL"/>
        </w:rPr>
        <w:t>W szczególnie uzasadnionych przypadkach Giełda może odstąpić od stosowania poszczególnych regulacji określonych w niniejszej uchwale bez zasięgania opinii Komitetu Indeksów Giełdowych.</w:t>
      </w:r>
    </w:p>
    <w:sectPr w:rsidR="00BB73E4" w:rsidRPr="00CE0814" w:rsidSect="00C55789">
      <w:footerReference w:type="default" r:id="rId12"/>
      <w:pgSz w:w="11906" w:h="16838"/>
      <w:pgMar w:top="1843" w:right="1701" w:bottom="1418" w:left="1701" w:header="708" w:footer="4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14" w:rsidRDefault="00CE0814" w:rsidP="005B54A7">
      <w:r>
        <w:separator/>
      </w:r>
    </w:p>
  </w:endnote>
  <w:endnote w:type="continuationSeparator" w:id="0">
    <w:p w:rsidR="00CE0814" w:rsidRDefault="00CE0814" w:rsidP="005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e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846388"/>
      <w:docPartObj>
        <w:docPartGallery w:val="Page Numbers (Bottom of Page)"/>
        <w:docPartUnique/>
      </w:docPartObj>
    </w:sdtPr>
    <w:sdtEndPr/>
    <w:sdtContent>
      <w:p w:rsidR="00CE0814" w:rsidRDefault="00CE0814" w:rsidP="00A726B8">
        <w:pPr>
          <w:pStyle w:val="Stopka"/>
          <w:jc w:val="center"/>
        </w:pPr>
        <w:r w:rsidRPr="00077838">
          <w:rPr>
            <w:rFonts w:ascii="Verdana" w:hAnsi="Verdana"/>
            <w:sz w:val="18"/>
            <w:szCs w:val="18"/>
          </w:rPr>
          <w:t>-</w:t>
        </w:r>
        <w:r w:rsidRPr="00077838">
          <w:rPr>
            <w:rFonts w:ascii="Verdana" w:hAnsi="Verdana"/>
            <w:sz w:val="18"/>
            <w:szCs w:val="18"/>
          </w:rPr>
          <w:fldChar w:fldCharType="begin"/>
        </w:r>
        <w:r w:rsidRPr="0007783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077838">
          <w:rPr>
            <w:rFonts w:ascii="Verdana" w:hAnsi="Verdana"/>
            <w:sz w:val="18"/>
            <w:szCs w:val="18"/>
          </w:rPr>
          <w:fldChar w:fldCharType="separate"/>
        </w:r>
        <w:r w:rsidR="00C628E0">
          <w:rPr>
            <w:rFonts w:ascii="Verdana" w:hAnsi="Verdana"/>
            <w:noProof/>
            <w:sz w:val="18"/>
            <w:szCs w:val="18"/>
          </w:rPr>
          <w:t>21</w:t>
        </w:r>
        <w:r w:rsidRPr="00077838">
          <w:rPr>
            <w:rFonts w:ascii="Verdana" w:hAnsi="Verdana"/>
            <w:sz w:val="18"/>
            <w:szCs w:val="18"/>
          </w:rPr>
          <w:fldChar w:fldCharType="end"/>
        </w:r>
        <w:r>
          <w:rPr>
            <w:rFonts w:ascii="Verdana" w:hAnsi="Verdana"/>
            <w:sz w:val="20"/>
            <w:szCs w:val="20"/>
          </w:rPr>
          <w:t>-</w:t>
        </w:r>
      </w:p>
    </w:sdtContent>
  </w:sdt>
  <w:p w:rsidR="00CE0814" w:rsidRDefault="00CE08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14" w:rsidRDefault="00CE0814" w:rsidP="005B54A7">
      <w:r>
        <w:separator/>
      </w:r>
    </w:p>
  </w:footnote>
  <w:footnote w:type="continuationSeparator" w:id="0">
    <w:p w:rsidR="00CE0814" w:rsidRDefault="00CE0814" w:rsidP="005B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A26"/>
    <w:multiLevelType w:val="hybridMultilevel"/>
    <w:tmpl w:val="A630ED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C23E6"/>
    <w:multiLevelType w:val="hybridMultilevel"/>
    <w:tmpl w:val="9C363A9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2D37568"/>
    <w:multiLevelType w:val="hybridMultilevel"/>
    <w:tmpl w:val="F01CE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54327"/>
    <w:multiLevelType w:val="hybridMultilevel"/>
    <w:tmpl w:val="A7E465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51D89"/>
    <w:multiLevelType w:val="hybridMultilevel"/>
    <w:tmpl w:val="5A0600D8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174C8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047139"/>
    <w:multiLevelType w:val="hybridMultilevel"/>
    <w:tmpl w:val="3EFA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5F7F71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500C2C"/>
    <w:multiLevelType w:val="hybridMultilevel"/>
    <w:tmpl w:val="52F281AC"/>
    <w:lvl w:ilvl="0" w:tplc="9D3EFA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657A41"/>
    <w:multiLevelType w:val="hybridMultilevel"/>
    <w:tmpl w:val="09762E6C"/>
    <w:lvl w:ilvl="0" w:tplc="2A624A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7CAF"/>
    <w:multiLevelType w:val="hybridMultilevel"/>
    <w:tmpl w:val="20105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46D6F"/>
    <w:multiLevelType w:val="hybridMultilevel"/>
    <w:tmpl w:val="D66EF5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754E81"/>
    <w:multiLevelType w:val="hybridMultilevel"/>
    <w:tmpl w:val="EDEC3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BA6E79"/>
    <w:multiLevelType w:val="hybridMultilevel"/>
    <w:tmpl w:val="FC0E4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F0E83"/>
    <w:multiLevelType w:val="hybridMultilevel"/>
    <w:tmpl w:val="D4626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3A3567"/>
    <w:multiLevelType w:val="hybridMultilevel"/>
    <w:tmpl w:val="7A44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050FE"/>
    <w:multiLevelType w:val="hybridMultilevel"/>
    <w:tmpl w:val="ACA49336"/>
    <w:lvl w:ilvl="0" w:tplc="E6003C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F3E45A3"/>
    <w:multiLevelType w:val="hybridMultilevel"/>
    <w:tmpl w:val="6206F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C6433"/>
    <w:multiLevelType w:val="hybridMultilevel"/>
    <w:tmpl w:val="A0D6C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14A3D"/>
    <w:multiLevelType w:val="hybridMultilevel"/>
    <w:tmpl w:val="FF504F80"/>
    <w:lvl w:ilvl="0" w:tplc="587869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3192C2A"/>
    <w:multiLevelType w:val="hybridMultilevel"/>
    <w:tmpl w:val="FD46E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62753A"/>
    <w:multiLevelType w:val="hybridMultilevel"/>
    <w:tmpl w:val="38A8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627F6A"/>
    <w:multiLevelType w:val="hybridMultilevel"/>
    <w:tmpl w:val="EE921C68"/>
    <w:lvl w:ilvl="0" w:tplc="697C1FE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 w:hint="default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501641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795D92"/>
    <w:multiLevelType w:val="hybridMultilevel"/>
    <w:tmpl w:val="27961AD8"/>
    <w:lvl w:ilvl="0" w:tplc="CB5E4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94B61CE"/>
    <w:multiLevelType w:val="hybridMultilevel"/>
    <w:tmpl w:val="D048D2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860DB6"/>
    <w:multiLevelType w:val="hybridMultilevel"/>
    <w:tmpl w:val="CFDCA200"/>
    <w:lvl w:ilvl="0" w:tplc="8B92C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9E4F03"/>
    <w:multiLevelType w:val="hybridMultilevel"/>
    <w:tmpl w:val="1FE8590E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E678F"/>
    <w:multiLevelType w:val="hybridMultilevel"/>
    <w:tmpl w:val="45624E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915B94"/>
    <w:multiLevelType w:val="hybridMultilevel"/>
    <w:tmpl w:val="6CA21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6E13D6"/>
    <w:multiLevelType w:val="hybridMultilevel"/>
    <w:tmpl w:val="E99A5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34B03"/>
    <w:multiLevelType w:val="hybridMultilevel"/>
    <w:tmpl w:val="4C2A3FC4"/>
    <w:lvl w:ilvl="0" w:tplc="4AAC4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8B36ABD"/>
    <w:multiLevelType w:val="hybridMultilevel"/>
    <w:tmpl w:val="CC1857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E037E4"/>
    <w:multiLevelType w:val="hybridMultilevel"/>
    <w:tmpl w:val="D8E08E38"/>
    <w:lvl w:ilvl="0" w:tplc="4436498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D286855"/>
    <w:multiLevelType w:val="hybridMultilevel"/>
    <w:tmpl w:val="ACA49336"/>
    <w:lvl w:ilvl="0" w:tplc="E6003C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E894FFE"/>
    <w:multiLevelType w:val="hybridMultilevel"/>
    <w:tmpl w:val="48D43FF4"/>
    <w:lvl w:ilvl="0" w:tplc="9E582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FC7FFB"/>
    <w:multiLevelType w:val="hybridMultilevel"/>
    <w:tmpl w:val="C15A414A"/>
    <w:lvl w:ilvl="0" w:tplc="299A3C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477FA"/>
    <w:multiLevelType w:val="hybridMultilevel"/>
    <w:tmpl w:val="EB0014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675CC1"/>
    <w:multiLevelType w:val="hybridMultilevel"/>
    <w:tmpl w:val="EDEC3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143941"/>
    <w:multiLevelType w:val="hybridMultilevel"/>
    <w:tmpl w:val="4E2EBA00"/>
    <w:lvl w:ilvl="0" w:tplc="30DE1D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0D140F"/>
    <w:multiLevelType w:val="hybridMultilevel"/>
    <w:tmpl w:val="33CA528E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A4564"/>
    <w:multiLevelType w:val="hybridMultilevel"/>
    <w:tmpl w:val="2EA01D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D63391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82E45CD"/>
    <w:multiLevelType w:val="hybridMultilevel"/>
    <w:tmpl w:val="FF504F80"/>
    <w:lvl w:ilvl="0" w:tplc="587869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87C76BA"/>
    <w:multiLevelType w:val="hybridMultilevel"/>
    <w:tmpl w:val="B57865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FE0A79"/>
    <w:multiLevelType w:val="hybridMultilevel"/>
    <w:tmpl w:val="3E64EBDE"/>
    <w:lvl w:ilvl="0" w:tplc="4DFC0A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4CEC2EF1"/>
    <w:multiLevelType w:val="hybridMultilevel"/>
    <w:tmpl w:val="52F281AC"/>
    <w:lvl w:ilvl="0" w:tplc="9D3EFA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A013D1"/>
    <w:multiLevelType w:val="hybridMultilevel"/>
    <w:tmpl w:val="06F89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82AB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897A28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2ED0CE6"/>
    <w:multiLevelType w:val="hybridMultilevel"/>
    <w:tmpl w:val="052A53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9F540F"/>
    <w:multiLevelType w:val="hybridMultilevel"/>
    <w:tmpl w:val="2292A8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40D47BB"/>
    <w:multiLevelType w:val="hybridMultilevel"/>
    <w:tmpl w:val="33CA528E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171385"/>
    <w:multiLevelType w:val="hybridMultilevel"/>
    <w:tmpl w:val="04242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689045C"/>
    <w:multiLevelType w:val="hybridMultilevel"/>
    <w:tmpl w:val="CA26A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7CE511B"/>
    <w:multiLevelType w:val="hybridMultilevel"/>
    <w:tmpl w:val="A516D6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ACB57C4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BD41ADA"/>
    <w:multiLevelType w:val="hybridMultilevel"/>
    <w:tmpl w:val="04242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CA45C68"/>
    <w:multiLevelType w:val="hybridMultilevel"/>
    <w:tmpl w:val="2EA01D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1904B6"/>
    <w:multiLevelType w:val="hybridMultilevel"/>
    <w:tmpl w:val="E2487E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378515E"/>
    <w:multiLevelType w:val="hybridMultilevel"/>
    <w:tmpl w:val="39468F2C"/>
    <w:lvl w:ilvl="0" w:tplc="7E1C6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4711545"/>
    <w:multiLevelType w:val="hybridMultilevel"/>
    <w:tmpl w:val="72DE43E4"/>
    <w:lvl w:ilvl="0" w:tplc="8B3AB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4BA04DC"/>
    <w:multiLevelType w:val="hybridMultilevel"/>
    <w:tmpl w:val="EE921C68"/>
    <w:lvl w:ilvl="0" w:tplc="697C1FE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 w:hint="default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ABA2E78"/>
    <w:multiLevelType w:val="hybridMultilevel"/>
    <w:tmpl w:val="60BEB5D8"/>
    <w:lvl w:ilvl="0" w:tplc="A39C2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BDC197F"/>
    <w:multiLevelType w:val="hybridMultilevel"/>
    <w:tmpl w:val="02CC8B38"/>
    <w:lvl w:ilvl="0" w:tplc="25C67CE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6C9A173B"/>
    <w:multiLevelType w:val="hybridMultilevel"/>
    <w:tmpl w:val="A2AAF338"/>
    <w:lvl w:ilvl="0" w:tplc="F378EC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E2A18D3"/>
    <w:multiLevelType w:val="hybridMultilevel"/>
    <w:tmpl w:val="BA20D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2352315"/>
    <w:multiLevelType w:val="hybridMultilevel"/>
    <w:tmpl w:val="AB86E6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4E26126"/>
    <w:multiLevelType w:val="hybridMultilevel"/>
    <w:tmpl w:val="800004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545174B"/>
    <w:multiLevelType w:val="hybridMultilevel"/>
    <w:tmpl w:val="052A53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6C669D6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E1700C"/>
    <w:multiLevelType w:val="hybridMultilevel"/>
    <w:tmpl w:val="052A53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77C1F7C"/>
    <w:multiLevelType w:val="hybridMultilevel"/>
    <w:tmpl w:val="52F281AC"/>
    <w:lvl w:ilvl="0" w:tplc="9D3EFA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CF017E"/>
    <w:multiLevelType w:val="hybridMultilevel"/>
    <w:tmpl w:val="A2DC48E8"/>
    <w:lvl w:ilvl="0" w:tplc="610C9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6242A9"/>
    <w:multiLevelType w:val="hybridMultilevel"/>
    <w:tmpl w:val="A0E4BDB2"/>
    <w:lvl w:ilvl="0" w:tplc="152EE0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4F502C"/>
    <w:multiLevelType w:val="hybridMultilevel"/>
    <w:tmpl w:val="8B1E7A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4"/>
  </w:num>
  <w:num w:numId="2">
    <w:abstractNumId w:val="11"/>
  </w:num>
  <w:num w:numId="3">
    <w:abstractNumId w:val="58"/>
  </w:num>
  <w:num w:numId="4">
    <w:abstractNumId w:val="1"/>
  </w:num>
  <w:num w:numId="5">
    <w:abstractNumId w:val="49"/>
  </w:num>
  <w:num w:numId="6">
    <w:abstractNumId w:val="59"/>
  </w:num>
  <w:num w:numId="7">
    <w:abstractNumId w:val="52"/>
  </w:num>
  <w:num w:numId="8">
    <w:abstractNumId w:val="57"/>
  </w:num>
  <w:num w:numId="9">
    <w:abstractNumId w:val="3"/>
  </w:num>
  <w:num w:numId="10">
    <w:abstractNumId w:val="67"/>
  </w:num>
  <w:num w:numId="11">
    <w:abstractNumId w:val="28"/>
  </w:num>
  <w:num w:numId="12">
    <w:abstractNumId w:val="17"/>
  </w:num>
  <w:num w:numId="13">
    <w:abstractNumId w:val="50"/>
  </w:num>
  <w:num w:numId="14">
    <w:abstractNumId w:val="29"/>
  </w:num>
  <w:num w:numId="15">
    <w:abstractNumId w:val="0"/>
  </w:num>
  <w:num w:numId="16">
    <w:abstractNumId w:val="37"/>
  </w:num>
  <w:num w:numId="17">
    <w:abstractNumId w:val="10"/>
  </w:num>
  <w:num w:numId="18">
    <w:abstractNumId w:val="53"/>
  </w:num>
  <w:num w:numId="19">
    <w:abstractNumId w:val="65"/>
  </w:num>
  <w:num w:numId="20">
    <w:abstractNumId w:val="14"/>
  </w:num>
  <w:num w:numId="21">
    <w:abstractNumId w:val="25"/>
  </w:num>
  <w:num w:numId="22">
    <w:abstractNumId w:val="18"/>
  </w:num>
  <w:num w:numId="23">
    <w:abstractNumId w:val="12"/>
  </w:num>
  <w:num w:numId="24">
    <w:abstractNumId w:val="20"/>
  </w:num>
  <w:num w:numId="25">
    <w:abstractNumId w:val="2"/>
  </w:num>
  <w:num w:numId="26">
    <w:abstractNumId w:val="47"/>
  </w:num>
  <w:num w:numId="27">
    <w:abstractNumId w:val="15"/>
  </w:num>
  <w:num w:numId="28">
    <w:abstractNumId w:val="30"/>
  </w:num>
  <w:num w:numId="29">
    <w:abstractNumId w:val="26"/>
  </w:num>
  <w:num w:numId="30">
    <w:abstractNumId w:val="34"/>
  </w:num>
  <w:num w:numId="31">
    <w:abstractNumId w:val="43"/>
  </w:num>
  <w:num w:numId="32">
    <w:abstractNumId w:val="13"/>
  </w:num>
  <w:num w:numId="33">
    <w:abstractNumId w:val="63"/>
  </w:num>
  <w:num w:numId="34">
    <w:abstractNumId w:val="54"/>
  </w:num>
  <w:num w:numId="35">
    <w:abstractNumId w:val="24"/>
  </w:num>
  <w:num w:numId="36">
    <w:abstractNumId w:val="68"/>
  </w:num>
  <w:num w:numId="37">
    <w:abstractNumId w:val="44"/>
  </w:num>
  <w:num w:numId="38">
    <w:abstractNumId w:val="21"/>
  </w:num>
  <w:num w:numId="39">
    <w:abstractNumId w:val="66"/>
  </w:num>
  <w:num w:numId="40">
    <w:abstractNumId w:val="6"/>
  </w:num>
  <w:num w:numId="41">
    <w:abstractNumId w:val="70"/>
  </w:num>
  <w:num w:numId="42">
    <w:abstractNumId w:val="56"/>
  </w:num>
  <w:num w:numId="43">
    <w:abstractNumId w:val="41"/>
  </w:num>
  <w:num w:numId="44">
    <w:abstractNumId w:val="38"/>
  </w:num>
  <w:num w:numId="45">
    <w:abstractNumId w:val="39"/>
  </w:num>
  <w:num w:numId="46">
    <w:abstractNumId w:val="48"/>
  </w:num>
  <w:num w:numId="47">
    <w:abstractNumId w:val="35"/>
  </w:num>
  <w:num w:numId="48">
    <w:abstractNumId w:val="73"/>
  </w:num>
  <w:num w:numId="49">
    <w:abstractNumId w:val="9"/>
  </w:num>
  <w:num w:numId="50">
    <w:abstractNumId w:val="42"/>
  </w:num>
  <w:num w:numId="51">
    <w:abstractNumId w:val="64"/>
  </w:num>
  <w:num w:numId="52">
    <w:abstractNumId w:val="31"/>
  </w:num>
  <w:num w:numId="53">
    <w:abstractNumId w:val="62"/>
  </w:num>
  <w:num w:numId="54">
    <w:abstractNumId w:val="69"/>
  </w:num>
  <w:num w:numId="55">
    <w:abstractNumId w:val="23"/>
  </w:num>
  <w:num w:numId="56">
    <w:abstractNumId w:val="8"/>
  </w:num>
  <w:num w:numId="57">
    <w:abstractNumId w:val="36"/>
  </w:num>
  <w:num w:numId="58">
    <w:abstractNumId w:val="46"/>
  </w:num>
  <w:num w:numId="59">
    <w:abstractNumId w:val="71"/>
  </w:num>
  <w:num w:numId="60">
    <w:abstractNumId w:val="7"/>
  </w:num>
  <w:num w:numId="61">
    <w:abstractNumId w:val="32"/>
  </w:num>
  <w:num w:numId="62">
    <w:abstractNumId w:val="55"/>
  </w:num>
  <w:num w:numId="63">
    <w:abstractNumId w:val="45"/>
  </w:num>
  <w:num w:numId="64">
    <w:abstractNumId w:val="61"/>
  </w:num>
  <w:num w:numId="65">
    <w:abstractNumId w:val="5"/>
  </w:num>
  <w:num w:numId="66">
    <w:abstractNumId w:val="60"/>
  </w:num>
  <w:num w:numId="67">
    <w:abstractNumId w:val="22"/>
  </w:num>
  <w:num w:numId="68">
    <w:abstractNumId w:val="72"/>
  </w:num>
  <w:num w:numId="69">
    <w:abstractNumId w:val="27"/>
  </w:num>
  <w:num w:numId="70">
    <w:abstractNumId w:val="33"/>
  </w:num>
  <w:num w:numId="71">
    <w:abstractNumId w:val="16"/>
  </w:num>
  <w:num w:numId="72">
    <w:abstractNumId w:val="19"/>
  </w:num>
  <w:num w:numId="73">
    <w:abstractNumId w:val="4"/>
  </w:num>
  <w:num w:numId="74">
    <w:abstractNumId w:val="51"/>
  </w:num>
  <w:num w:numId="75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05"/>
    <w:rsid w:val="0000039E"/>
    <w:rsid w:val="000005F2"/>
    <w:rsid w:val="00004522"/>
    <w:rsid w:val="00004A3E"/>
    <w:rsid w:val="00005330"/>
    <w:rsid w:val="00010CC3"/>
    <w:rsid w:val="00011A8E"/>
    <w:rsid w:val="000166E5"/>
    <w:rsid w:val="0002122D"/>
    <w:rsid w:val="00022189"/>
    <w:rsid w:val="000246C2"/>
    <w:rsid w:val="000311AC"/>
    <w:rsid w:val="0003171E"/>
    <w:rsid w:val="0003686C"/>
    <w:rsid w:val="00041B9F"/>
    <w:rsid w:val="00042AEB"/>
    <w:rsid w:val="00051D6D"/>
    <w:rsid w:val="00052758"/>
    <w:rsid w:val="00054737"/>
    <w:rsid w:val="000571FB"/>
    <w:rsid w:val="00057E35"/>
    <w:rsid w:val="0006121E"/>
    <w:rsid w:val="000619F9"/>
    <w:rsid w:val="00061F47"/>
    <w:rsid w:val="000630F7"/>
    <w:rsid w:val="000760D3"/>
    <w:rsid w:val="00077838"/>
    <w:rsid w:val="000804D6"/>
    <w:rsid w:val="00080BE6"/>
    <w:rsid w:val="0008142D"/>
    <w:rsid w:val="000825F7"/>
    <w:rsid w:val="00093A1A"/>
    <w:rsid w:val="00097A28"/>
    <w:rsid w:val="00097EBD"/>
    <w:rsid w:val="000B1C02"/>
    <w:rsid w:val="000B2C09"/>
    <w:rsid w:val="000B4C00"/>
    <w:rsid w:val="000C0D81"/>
    <w:rsid w:val="000C6D42"/>
    <w:rsid w:val="000C76CC"/>
    <w:rsid w:val="000C7D1A"/>
    <w:rsid w:val="000D3DF3"/>
    <w:rsid w:val="000D5B5F"/>
    <w:rsid w:val="000D6B7D"/>
    <w:rsid w:val="000E1575"/>
    <w:rsid w:val="000E62CE"/>
    <w:rsid w:val="000E6897"/>
    <w:rsid w:val="000E6AA3"/>
    <w:rsid w:val="000F3C11"/>
    <w:rsid w:val="000F5AB4"/>
    <w:rsid w:val="00101147"/>
    <w:rsid w:val="00101185"/>
    <w:rsid w:val="0010250C"/>
    <w:rsid w:val="00106FE0"/>
    <w:rsid w:val="00106FE5"/>
    <w:rsid w:val="001107C1"/>
    <w:rsid w:val="00112C27"/>
    <w:rsid w:val="00113BAC"/>
    <w:rsid w:val="00116A9C"/>
    <w:rsid w:val="00117DDA"/>
    <w:rsid w:val="00121859"/>
    <w:rsid w:val="001252C0"/>
    <w:rsid w:val="00136179"/>
    <w:rsid w:val="001402CC"/>
    <w:rsid w:val="00140667"/>
    <w:rsid w:val="001424F4"/>
    <w:rsid w:val="00142A3C"/>
    <w:rsid w:val="0015094A"/>
    <w:rsid w:val="001509C2"/>
    <w:rsid w:val="00152130"/>
    <w:rsid w:val="001544DE"/>
    <w:rsid w:val="00155936"/>
    <w:rsid w:val="00157069"/>
    <w:rsid w:val="00164DA6"/>
    <w:rsid w:val="00167BF7"/>
    <w:rsid w:val="0017685E"/>
    <w:rsid w:val="00176BC2"/>
    <w:rsid w:val="00176F12"/>
    <w:rsid w:val="001802EC"/>
    <w:rsid w:val="00187905"/>
    <w:rsid w:val="00190167"/>
    <w:rsid w:val="00191C04"/>
    <w:rsid w:val="00196B98"/>
    <w:rsid w:val="001A1169"/>
    <w:rsid w:val="001A16AC"/>
    <w:rsid w:val="001A5203"/>
    <w:rsid w:val="001B4C62"/>
    <w:rsid w:val="001B6086"/>
    <w:rsid w:val="001C1ACE"/>
    <w:rsid w:val="001C30C2"/>
    <w:rsid w:val="001C5CAB"/>
    <w:rsid w:val="001E0174"/>
    <w:rsid w:val="001E78C3"/>
    <w:rsid w:val="001F04EE"/>
    <w:rsid w:val="001F224B"/>
    <w:rsid w:val="001F4199"/>
    <w:rsid w:val="001F4A64"/>
    <w:rsid w:val="001F5D4B"/>
    <w:rsid w:val="001F6990"/>
    <w:rsid w:val="0020257C"/>
    <w:rsid w:val="00203986"/>
    <w:rsid w:val="00204A4B"/>
    <w:rsid w:val="00205128"/>
    <w:rsid w:val="00206AB2"/>
    <w:rsid w:val="0021566E"/>
    <w:rsid w:val="002158C9"/>
    <w:rsid w:val="00217A85"/>
    <w:rsid w:val="00217E90"/>
    <w:rsid w:val="00220517"/>
    <w:rsid w:val="0022373A"/>
    <w:rsid w:val="00225DCA"/>
    <w:rsid w:val="0023589F"/>
    <w:rsid w:val="002363B3"/>
    <w:rsid w:val="00245367"/>
    <w:rsid w:val="002473BC"/>
    <w:rsid w:val="00251EF5"/>
    <w:rsid w:val="0025289C"/>
    <w:rsid w:val="00253F04"/>
    <w:rsid w:val="00262C29"/>
    <w:rsid w:val="00263B3A"/>
    <w:rsid w:val="00263F3D"/>
    <w:rsid w:val="0027154E"/>
    <w:rsid w:val="00272711"/>
    <w:rsid w:val="00277375"/>
    <w:rsid w:val="00282363"/>
    <w:rsid w:val="002826DC"/>
    <w:rsid w:val="002826E5"/>
    <w:rsid w:val="00285C65"/>
    <w:rsid w:val="002917C8"/>
    <w:rsid w:val="00291D86"/>
    <w:rsid w:val="0029223A"/>
    <w:rsid w:val="00292820"/>
    <w:rsid w:val="002936FE"/>
    <w:rsid w:val="002968BC"/>
    <w:rsid w:val="00296DC7"/>
    <w:rsid w:val="002A19B2"/>
    <w:rsid w:val="002A24E2"/>
    <w:rsid w:val="002A33A9"/>
    <w:rsid w:val="002A4A65"/>
    <w:rsid w:val="002B28E0"/>
    <w:rsid w:val="002B3BD8"/>
    <w:rsid w:val="002B5B47"/>
    <w:rsid w:val="002D1292"/>
    <w:rsid w:val="002D1C91"/>
    <w:rsid w:val="002E1B1D"/>
    <w:rsid w:val="002E53FE"/>
    <w:rsid w:val="002F42A6"/>
    <w:rsid w:val="002F73C7"/>
    <w:rsid w:val="00302BC0"/>
    <w:rsid w:val="00314D7C"/>
    <w:rsid w:val="00315811"/>
    <w:rsid w:val="0031687C"/>
    <w:rsid w:val="00322CD8"/>
    <w:rsid w:val="00330942"/>
    <w:rsid w:val="0033529B"/>
    <w:rsid w:val="00342D59"/>
    <w:rsid w:val="00350BA5"/>
    <w:rsid w:val="00350FCA"/>
    <w:rsid w:val="00354222"/>
    <w:rsid w:val="00361135"/>
    <w:rsid w:val="0036178D"/>
    <w:rsid w:val="0036438C"/>
    <w:rsid w:val="00382B7B"/>
    <w:rsid w:val="003830F7"/>
    <w:rsid w:val="00390F5E"/>
    <w:rsid w:val="00392C62"/>
    <w:rsid w:val="003936BB"/>
    <w:rsid w:val="003A0B0C"/>
    <w:rsid w:val="003A3817"/>
    <w:rsid w:val="003B29DD"/>
    <w:rsid w:val="003B3CC2"/>
    <w:rsid w:val="003B469D"/>
    <w:rsid w:val="003B4A63"/>
    <w:rsid w:val="003C2113"/>
    <w:rsid w:val="003C4139"/>
    <w:rsid w:val="003E077C"/>
    <w:rsid w:val="003E20C9"/>
    <w:rsid w:val="003F15C5"/>
    <w:rsid w:val="003F1AC5"/>
    <w:rsid w:val="003F1D8B"/>
    <w:rsid w:val="003F208E"/>
    <w:rsid w:val="003F2D37"/>
    <w:rsid w:val="003F6B7A"/>
    <w:rsid w:val="003F7EE9"/>
    <w:rsid w:val="004020FF"/>
    <w:rsid w:val="004023AE"/>
    <w:rsid w:val="00402472"/>
    <w:rsid w:val="00402EB1"/>
    <w:rsid w:val="00403FDD"/>
    <w:rsid w:val="0041394F"/>
    <w:rsid w:val="004171EB"/>
    <w:rsid w:val="00422022"/>
    <w:rsid w:val="00422ABD"/>
    <w:rsid w:val="00425F28"/>
    <w:rsid w:val="004302B1"/>
    <w:rsid w:val="00432AFE"/>
    <w:rsid w:val="00432C8A"/>
    <w:rsid w:val="0043587B"/>
    <w:rsid w:val="004440B8"/>
    <w:rsid w:val="0044559C"/>
    <w:rsid w:val="00446B6F"/>
    <w:rsid w:val="004508E6"/>
    <w:rsid w:val="0045676B"/>
    <w:rsid w:val="00456A12"/>
    <w:rsid w:val="00460584"/>
    <w:rsid w:val="00461F86"/>
    <w:rsid w:val="00462B6B"/>
    <w:rsid w:val="00464231"/>
    <w:rsid w:val="004644AD"/>
    <w:rsid w:val="00466DAF"/>
    <w:rsid w:val="00471701"/>
    <w:rsid w:val="00477DE9"/>
    <w:rsid w:val="00480777"/>
    <w:rsid w:val="00484501"/>
    <w:rsid w:val="0048652D"/>
    <w:rsid w:val="00487510"/>
    <w:rsid w:val="0049068C"/>
    <w:rsid w:val="00491A16"/>
    <w:rsid w:val="00495C9E"/>
    <w:rsid w:val="004963A1"/>
    <w:rsid w:val="00497BEE"/>
    <w:rsid w:val="004A2849"/>
    <w:rsid w:val="004B1880"/>
    <w:rsid w:val="004B52D4"/>
    <w:rsid w:val="004B57EA"/>
    <w:rsid w:val="004B7455"/>
    <w:rsid w:val="004C6580"/>
    <w:rsid w:val="004D30BE"/>
    <w:rsid w:val="004D3553"/>
    <w:rsid w:val="004D4BC1"/>
    <w:rsid w:val="004D5CE8"/>
    <w:rsid w:val="004E7E12"/>
    <w:rsid w:val="004F2DC3"/>
    <w:rsid w:val="004F715F"/>
    <w:rsid w:val="004F7201"/>
    <w:rsid w:val="004F7E4E"/>
    <w:rsid w:val="00505A1D"/>
    <w:rsid w:val="00510F22"/>
    <w:rsid w:val="00512DFC"/>
    <w:rsid w:val="0051437B"/>
    <w:rsid w:val="00515DFC"/>
    <w:rsid w:val="00521441"/>
    <w:rsid w:val="0052556E"/>
    <w:rsid w:val="00531CF7"/>
    <w:rsid w:val="0053455A"/>
    <w:rsid w:val="00542DBE"/>
    <w:rsid w:val="0054404F"/>
    <w:rsid w:val="005463B4"/>
    <w:rsid w:val="00547530"/>
    <w:rsid w:val="005547B3"/>
    <w:rsid w:val="0056120F"/>
    <w:rsid w:val="0056289F"/>
    <w:rsid w:val="005640C0"/>
    <w:rsid w:val="0056728B"/>
    <w:rsid w:val="0057058C"/>
    <w:rsid w:val="00570E7D"/>
    <w:rsid w:val="005721B9"/>
    <w:rsid w:val="005728C9"/>
    <w:rsid w:val="0058029A"/>
    <w:rsid w:val="005822F2"/>
    <w:rsid w:val="005841D8"/>
    <w:rsid w:val="00585B13"/>
    <w:rsid w:val="005911F8"/>
    <w:rsid w:val="00591C33"/>
    <w:rsid w:val="00591EAE"/>
    <w:rsid w:val="00593779"/>
    <w:rsid w:val="00594350"/>
    <w:rsid w:val="00597F5D"/>
    <w:rsid w:val="005A33E6"/>
    <w:rsid w:val="005A53AF"/>
    <w:rsid w:val="005A7545"/>
    <w:rsid w:val="005B189E"/>
    <w:rsid w:val="005B30CB"/>
    <w:rsid w:val="005B3777"/>
    <w:rsid w:val="005B45A0"/>
    <w:rsid w:val="005B54A7"/>
    <w:rsid w:val="005B60D3"/>
    <w:rsid w:val="005B6664"/>
    <w:rsid w:val="005B757F"/>
    <w:rsid w:val="005C1C93"/>
    <w:rsid w:val="005C7282"/>
    <w:rsid w:val="005D0FF1"/>
    <w:rsid w:val="005D2259"/>
    <w:rsid w:val="005D2F6A"/>
    <w:rsid w:val="005D5345"/>
    <w:rsid w:val="005E12EF"/>
    <w:rsid w:val="005E31F8"/>
    <w:rsid w:val="005E3B0B"/>
    <w:rsid w:val="005E3F9A"/>
    <w:rsid w:val="005F12FE"/>
    <w:rsid w:val="005F6B78"/>
    <w:rsid w:val="005F7B1B"/>
    <w:rsid w:val="00602393"/>
    <w:rsid w:val="00602E7E"/>
    <w:rsid w:val="006053DA"/>
    <w:rsid w:val="00606A0E"/>
    <w:rsid w:val="006079BD"/>
    <w:rsid w:val="00616C1A"/>
    <w:rsid w:val="00635657"/>
    <w:rsid w:val="00636206"/>
    <w:rsid w:val="00636343"/>
    <w:rsid w:val="00644BF1"/>
    <w:rsid w:val="006479E8"/>
    <w:rsid w:val="00653EE8"/>
    <w:rsid w:val="0065580B"/>
    <w:rsid w:val="00656D61"/>
    <w:rsid w:val="0065704F"/>
    <w:rsid w:val="00660544"/>
    <w:rsid w:val="0066605E"/>
    <w:rsid w:val="00670021"/>
    <w:rsid w:val="00674928"/>
    <w:rsid w:val="00682A5D"/>
    <w:rsid w:val="00685FBC"/>
    <w:rsid w:val="0068637E"/>
    <w:rsid w:val="00686B13"/>
    <w:rsid w:val="006876BF"/>
    <w:rsid w:val="006923D8"/>
    <w:rsid w:val="00692C24"/>
    <w:rsid w:val="00693376"/>
    <w:rsid w:val="006952C5"/>
    <w:rsid w:val="006B1D07"/>
    <w:rsid w:val="006B48A5"/>
    <w:rsid w:val="006B501C"/>
    <w:rsid w:val="006B6EFA"/>
    <w:rsid w:val="006C0902"/>
    <w:rsid w:val="006C0DE9"/>
    <w:rsid w:val="006C0DEF"/>
    <w:rsid w:val="006C26E5"/>
    <w:rsid w:val="006C27C8"/>
    <w:rsid w:val="006C5189"/>
    <w:rsid w:val="006C7002"/>
    <w:rsid w:val="006D0A82"/>
    <w:rsid w:val="006D2F9A"/>
    <w:rsid w:val="006E6FD8"/>
    <w:rsid w:val="006F17A6"/>
    <w:rsid w:val="006F3087"/>
    <w:rsid w:val="0070730C"/>
    <w:rsid w:val="00717985"/>
    <w:rsid w:val="00717F9D"/>
    <w:rsid w:val="007260C6"/>
    <w:rsid w:val="007265F1"/>
    <w:rsid w:val="007300F5"/>
    <w:rsid w:val="00730744"/>
    <w:rsid w:val="00731154"/>
    <w:rsid w:val="0075129E"/>
    <w:rsid w:val="007542ED"/>
    <w:rsid w:val="00757B7F"/>
    <w:rsid w:val="00757F78"/>
    <w:rsid w:val="00765386"/>
    <w:rsid w:val="00767E86"/>
    <w:rsid w:val="00772605"/>
    <w:rsid w:val="00773080"/>
    <w:rsid w:val="00775534"/>
    <w:rsid w:val="00777A7F"/>
    <w:rsid w:val="00781A72"/>
    <w:rsid w:val="00786150"/>
    <w:rsid w:val="007907AB"/>
    <w:rsid w:val="00794B52"/>
    <w:rsid w:val="00795B76"/>
    <w:rsid w:val="007A0F66"/>
    <w:rsid w:val="007A2D3F"/>
    <w:rsid w:val="007A3E4E"/>
    <w:rsid w:val="007A74D9"/>
    <w:rsid w:val="007A7792"/>
    <w:rsid w:val="007B2056"/>
    <w:rsid w:val="007B6B13"/>
    <w:rsid w:val="007C0D7C"/>
    <w:rsid w:val="007C2626"/>
    <w:rsid w:val="007E1809"/>
    <w:rsid w:val="007E5787"/>
    <w:rsid w:val="007F0BC2"/>
    <w:rsid w:val="007F566B"/>
    <w:rsid w:val="007F6ABC"/>
    <w:rsid w:val="007F7720"/>
    <w:rsid w:val="0080477F"/>
    <w:rsid w:val="00806387"/>
    <w:rsid w:val="008229B2"/>
    <w:rsid w:val="00822AFE"/>
    <w:rsid w:val="00823B1A"/>
    <w:rsid w:val="00824198"/>
    <w:rsid w:val="00825511"/>
    <w:rsid w:val="00832C5D"/>
    <w:rsid w:val="00841D96"/>
    <w:rsid w:val="008437AE"/>
    <w:rsid w:val="00845009"/>
    <w:rsid w:val="008467FA"/>
    <w:rsid w:val="008503A3"/>
    <w:rsid w:val="008655B3"/>
    <w:rsid w:val="00873A60"/>
    <w:rsid w:val="00875EBF"/>
    <w:rsid w:val="00877707"/>
    <w:rsid w:val="00884239"/>
    <w:rsid w:val="008866E3"/>
    <w:rsid w:val="00897AAF"/>
    <w:rsid w:val="008A4080"/>
    <w:rsid w:val="008A63DA"/>
    <w:rsid w:val="008A79F2"/>
    <w:rsid w:val="008B1DCE"/>
    <w:rsid w:val="008B5B8A"/>
    <w:rsid w:val="008D51F0"/>
    <w:rsid w:val="008E1C78"/>
    <w:rsid w:val="008E47D5"/>
    <w:rsid w:val="008E715B"/>
    <w:rsid w:val="008F2A5F"/>
    <w:rsid w:val="008F33E7"/>
    <w:rsid w:val="00901614"/>
    <w:rsid w:val="009052FE"/>
    <w:rsid w:val="00907FC7"/>
    <w:rsid w:val="00913001"/>
    <w:rsid w:val="00916B79"/>
    <w:rsid w:val="00925F30"/>
    <w:rsid w:val="00930DB3"/>
    <w:rsid w:val="00933314"/>
    <w:rsid w:val="009349D4"/>
    <w:rsid w:val="00934EEF"/>
    <w:rsid w:val="00935C7A"/>
    <w:rsid w:val="009364D0"/>
    <w:rsid w:val="00936BBB"/>
    <w:rsid w:val="00942DC6"/>
    <w:rsid w:val="00943568"/>
    <w:rsid w:val="0095128E"/>
    <w:rsid w:val="009522FB"/>
    <w:rsid w:val="00955169"/>
    <w:rsid w:val="00955FF8"/>
    <w:rsid w:val="00956F8F"/>
    <w:rsid w:val="009574A6"/>
    <w:rsid w:val="00962698"/>
    <w:rsid w:val="00965B93"/>
    <w:rsid w:val="00967785"/>
    <w:rsid w:val="00967A4B"/>
    <w:rsid w:val="00967EC9"/>
    <w:rsid w:val="009705F8"/>
    <w:rsid w:val="0097168F"/>
    <w:rsid w:val="00985F6D"/>
    <w:rsid w:val="0099217D"/>
    <w:rsid w:val="00995443"/>
    <w:rsid w:val="00995BC0"/>
    <w:rsid w:val="00997FF4"/>
    <w:rsid w:val="009A06E9"/>
    <w:rsid w:val="009A3BAE"/>
    <w:rsid w:val="009A414F"/>
    <w:rsid w:val="009A4233"/>
    <w:rsid w:val="009A6C98"/>
    <w:rsid w:val="009A73AE"/>
    <w:rsid w:val="009B4615"/>
    <w:rsid w:val="009B5693"/>
    <w:rsid w:val="009B6BDC"/>
    <w:rsid w:val="009B7989"/>
    <w:rsid w:val="009B7DD0"/>
    <w:rsid w:val="009C159F"/>
    <w:rsid w:val="009C7C9C"/>
    <w:rsid w:val="009C7E75"/>
    <w:rsid w:val="009D0E4A"/>
    <w:rsid w:val="009D6539"/>
    <w:rsid w:val="009D6D22"/>
    <w:rsid w:val="009D707C"/>
    <w:rsid w:val="009E1C8E"/>
    <w:rsid w:val="009E1CB5"/>
    <w:rsid w:val="009E3CF8"/>
    <w:rsid w:val="009E644E"/>
    <w:rsid w:val="009F0E1C"/>
    <w:rsid w:val="009F1FC7"/>
    <w:rsid w:val="009F21E0"/>
    <w:rsid w:val="009F51C8"/>
    <w:rsid w:val="009F5263"/>
    <w:rsid w:val="009F6B2E"/>
    <w:rsid w:val="009F6EEE"/>
    <w:rsid w:val="00A00ACC"/>
    <w:rsid w:val="00A00E3A"/>
    <w:rsid w:val="00A03617"/>
    <w:rsid w:val="00A04222"/>
    <w:rsid w:val="00A04312"/>
    <w:rsid w:val="00A064BA"/>
    <w:rsid w:val="00A111EA"/>
    <w:rsid w:val="00A12CED"/>
    <w:rsid w:val="00A20D90"/>
    <w:rsid w:val="00A27F51"/>
    <w:rsid w:val="00A30F67"/>
    <w:rsid w:val="00A31459"/>
    <w:rsid w:val="00A346BB"/>
    <w:rsid w:val="00A34AE9"/>
    <w:rsid w:val="00A35D83"/>
    <w:rsid w:val="00A37E07"/>
    <w:rsid w:val="00A429AE"/>
    <w:rsid w:val="00A55734"/>
    <w:rsid w:val="00A57A02"/>
    <w:rsid w:val="00A62D2D"/>
    <w:rsid w:val="00A71ED5"/>
    <w:rsid w:val="00A726B8"/>
    <w:rsid w:val="00A74B8B"/>
    <w:rsid w:val="00A75FF4"/>
    <w:rsid w:val="00A77467"/>
    <w:rsid w:val="00A77B3C"/>
    <w:rsid w:val="00A84960"/>
    <w:rsid w:val="00A84D9F"/>
    <w:rsid w:val="00A91AA1"/>
    <w:rsid w:val="00A95070"/>
    <w:rsid w:val="00A96DBC"/>
    <w:rsid w:val="00A97060"/>
    <w:rsid w:val="00AA6277"/>
    <w:rsid w:val="00AA734E"/>
    <w:rsid w:val="00AA7615"/>
    <w:rsid w:val="00AB0408"/>
    <w:rsid w:val="00AB6A01"/>
    <w:rsid w:val="00AB7747"/>
    <w:rsid w:val="00AC3643"/>
    <w:rsid w:val="00AC7715"/>
    <w:rsid w:val="00AD6423"/>
    <w:rsid w:val="00AD6E1A"/>
    <w:rsid w:val="00AE11AF"/>
    <w:rsid w:val="00AE1F14"/>
    <w:rsid w:val="00AE64F4"/>
    <w:rsid w:val="00AF6103"/>
    <w:rsid w:val="00AF6803"/>
    <w:rsid w:val="00B01D5C"/>
    <w:rsid w:val="00B03B3A"/>
    <w:rsid w:val="00B05303"/>
    <w:rsid w:val="00B059FE"/>
    <w:rsid w:val="00B07437"/>
    <w:rsid w:val="00B131AD"/>
    <w:rsid w:val="00B140B3"/>
    <w:rsid w:val="00B15CAC"/>
    <w:rsid w:val="00B16DCF"/>
    <w:rsid w:val="00B20BA5"/>
    <w:rsid w:val="00B2455E"/>
    <w:rsid w:val="00B3299F"/>
    <w:rsid w:val="00B359B2"/>
    <w:rsid w:val="00B3715F"/>
    <w:rsid w:val="00B407F8"/>
    <w:rsid w:val="00B51315"/>
    <w:rsid w:val="00B616EE"/>
    <w:rsid w:val="00B628A3"/>
    <w:rsid w:val="00B62D5D"/>
    <w:rsid w:val="00B6354D"/>
    <w:rsid w:val="00B635BA"/>
    <w:rsid w:val="00B65BAB"/>
    <w:rsid w:val="00B66C55"/>
    <w:rsid w:val="00B743EA"/>
    <w:rsid w:val="00B84B44"/>
    <w:rsid w:val="00B861C3"/>
    <w:rsid w:val="00B871D9"/>
    <w:rsid w:val="00B90F2A"/>
    <w:rsid w:val="00B92C34"/>
    <w:rsid w:val="00B95C63"/>
    <w:rsid w:val="00BA2EE8"/>
    <w:rsid w:val="00BA3837"/>
    <w:rsid w:val="00BA4F3E"/>
    <w:rsid w:val="00BA6362"/>
    <w:rsid w:val="00BB1DEE"/>
    <w:rsid w:val="00BB73E4"/>
    <w:rsid w:val="00BC1B83"/>
    <w:rsid w:val="00BC5328"/>
    <w:rsid w:val="00BC7661"/>
    <w:rsid w:val="00BD16BC"/>
    <w:rsid w:val="00BD440B"/>
    <w:rsid w:val="00BE61B8"/>
    <w:rsid w:val="00BE639A"/>
    <w:rsid w:val="00BE6985"/>
    <w:rsid w:val="00BE6F94"/>
    <w:rsid w:val="00BE6FC7"/>
    <w:rsid w:val="00BF484B"/>
    <w:rsid w:val="00BF5372"/>
    <w:rsid w:val="00BF6130"/>
    <w:rsid w:val="00BF7B93"/>
    <w:rsid w:val="00C005FF"/>
    <w:rsid w:val="00C031AD"/>
    <w:rsid w:val="00C0499B"/>
    <w:rsid w:val="00C125DD"/>
    <w:rsid w:val="00C13044"/>
    <w:rsid w:val="00C15884"/>
    <w:rsid w:val="00C16C16"/>
    <w:rsid w:val="00C23C47"/>
    <w:rsid w:val="00C247C4"/>
    <w:rsid w:val="00C26387"/>
    <w:rsid w:val="00C319C3"/>
    <w:rsid w:val="00C3531B"/>
    <w:rsid w:val="00C35E3E"/>
    <w:rsid w:val="00C36627"/>
    <w:rsid w:val="00C37115"/>
    <w:rsid w:val="00C40714"/>
    <w:rsid w:val="00C41B2F"/>
    <w:rsid w:val="00C43102"/>
    <w:rsid w:val="00C438FF"/>
    <w:rsid w:val="00C504E3"/>
    <w:rsid w:val="00C512F0"/>
    <w:rsid w:val="00C552ED"/>
    <w:rsid w:val="00C55789"/>
    <w:rsid w:val="00C60EBA"/>
    <w:rsid w:val="00C628E0"/>
    <w:rsid w:val="00C63F5B"/>
    <w:rsid w:val="00C646C3"/>
    <w:rsid w:val="00C64CE5"/>
    <w:rsid w:val="00C65DF4"/>
    <w:rsid w:val="00C65FB9"/>
    <w:rsid w:val="00C67E49"/>
    <w:rsid w:val="00C717F9"/>
    <w:rsid w:val="00C73A09"/>
    <w:rsid w:val="00C7769D"/>
    <w:rsid w:val="00C80C90"/>
    <w:rsid w:val="00C814EB"/>
    <w:rsid w:val="00C81655"/>
    <w:rsid w:val="00C82EF9"/>
    <w:rsid w:val="00C93274"/>
    <w:rsid w:val="00C967AB"/>
    <w:rsid w:val="00CA05D6"/>
    <w:rsid w:val="00CA7914"/>
    <w:rsid w:val="00CB2852"/>
    <w:rsid w:val="00CC0B44"/>
    <w:rsid w:val="00CC0D26"/>
    <w:rsid w:val="00CD0672"/>
    <w:rsid w:val="00CD376E"/>
    <w:rsid w:val="00CD5394"/>
    <w:rsid w:val="00CD586E"/>
    <w:rsid w:val="00CD79D1"/>
    <w:rsid w:val="00CE0814"/>
    <w:rsid w:val="00CF5FAA"/>
    <w:rsid w:val="00D02BBD"/>
    <w:rsid w:val="00D03376"/>
    <w:rsid w:val="00D108F7"/>
    <w:rsid w:val="00D12C95"/>
    <w:rsid w:val="00D1354B"/>
    <w:rsid w:val="00D14C4D"/>
    <w:rsid w:val="00D17EB1"/>
    <w:rsid w:val="00D22293"/>
    <w:rsid w:val="00D40527"/>
    <w:rsid w:val="00D40BEC"/>
    <w:rsid w:val="00D41ED4"/>
    <w:rsid w:val="00D50805"/>
    <w:rsid w:val="00D54B92"/>
    <w:rsid w:val="00D5637B"/>
    <w:rsid w:val="00D563E5"/>
    <w:rsid w:val="00D60C1D"/>
    <w:rsid w:val="00D70834"/>
    <w:rsid w:val="00D7128F"/>
    <w:rsid w:val="00D71F54"/>
    <w:rsid w:val="00D77CB3"/>
    <w:rsid w:val="00D77F82"/>
    <w:rsid w:val="00D815B8"/>
    <w:rsid w:val="00D927A9"/>
    <w:rsid w:val="00D94C3E"/>
    <w:rsid w:val="00D9596F"/>
    <w:rsid w:val="00DB5F98"/>
    <w:rsid w:val="00DC0C0C"/>
    <w:rsid w:val="00DC1290"/>
    <w:rsid w:val="00DC199B"/>
    <w:rsid w:val="00DC579C"/>
    <w:rsid w:val="00DC5AA7"/>
    <w:rsid w:val="00DC5EA8"/>
    <w:rsid w:val="00DD23DC"/>
    <w:rsid w:val="00DD4813"/>
    <w:rsid w:val="00DD4B7C"/>
    <w:rsid w:val="00DD64B3"/>
    <w:rsid w:val="00DE116B"/>
    <w:rsid w:val="00DE5DF3"/>
    <w:rsid w:val="00DE7F71"/>
    <w:rsid w:val="00DF2B86"/>
    <w:rsid w:val="00DF32BF"/>
    <w:rsid w:val="00DF4F6D"/>
    <w:rsid w:val="00DF771E"/>
    <w:rsid w:val="00E030AB"/>
    <w:rsid w:val="00E03461"/>
    <w:rsid w:val="00E06A53"/>
    <w:rsid w:val="00E07B51"/>
    <w:rsid w:val="00E14BE8"/>
    <w:rsid w:val="00E1626B"/>
    <w:rsid w:val="00E1677D"/>
    <w:rsid w:val="00E2169F"/>
    <w:rsid w:val="00E243BF"/>
    <w:rsid w:val="00E30432"/>
    <w:rsid w:val="00E3052A"/>
    <w:rsid w:val="00E34763"/>
    <w:rsid w:val="00E34D46"/>
    <w:rsid w:val="00E417AD"/>
    <w:rsid w:val="00E44FFD"/>
    <w:rsid w:val="00E456E1"/>
    <w:rsid w:val="00E50856"/>
    <w:rsid w:val="00E50C49"/>
    <w:rsid w:val="00E5146F"/>
    <w:rsid w:val="00E5695F"/>
    <w:rsid w:val="00E605F2"/>
    <w:rsid w:val="00E6518C"/>
    <w:rsid w:val="00E66843"/>
    <w:rsid w:val="00E668F2"/>
    <w:rsid w:val="00E675F7"/>
    <w:rsid w:val="00E67EC2"/>
    <w:rsid w:val="00E7047C"/>
    <w:rsid w:val="00E739C7"/>
    <w:rsid w:val="00E74F7D"/>
    <w:rsid w:val="00E906AC"/>
    <w:rsid w:val="00E915C8"/>
    <w:rsid w:val="00E95B6E"/>
    <w:rsid w:val="00E96694"/>
    <w:rsid w:val="00E97138"/>
    <w:rsid w:val="00EA01AC"/>
    <w:rsid w:val="00EA16CB"/>
    <w:rsid w:val="00EA5A49"/>
    <w:rsid w:val="00EA72DF"/>
    <w:rsid w:val="00EA7DB2"/>
    <w:rsid w:val="00EB66F5"/>
    <w:rsid w:val="00ED3594"/>
    <w:rsid w:val="00ED3960"/>
    <w:rsid w:val="00ED516F"/>
    <w:rsid w:val="00ED54DB"/>
    <w:rsid w:val="00ED5B3E"/>
    <w:rsid w:val="00ED5FB3"/>
    <w:rsid w:val="00EE1795"/>
    <w:rsid w:val="00EE1F05"/>
    <w:rsid w:val="00EE3AA7"/>
    <w:rsid w:val="00EF60AC"/>
    <w:rsid w:val="00F03164"/>
    <w:rsid w:val="00F040CA"/>
    <w:rsid w:val="00F07EF4"/>
    <w:rsid w:val="00F10569"/>
    <w:rsid w:val="00F119D8"/>
    <w:rsid w:val="00F15191"/>
    <w:rsid w:val="00F163C9"/>
    <w:rsid w:val="00F164A7"/>
    <w:rsid w:val="00F17E2E"/>
    <w:rsid w:val="00F302DC"/>
    <w:rsid w:val="00F3648A"/>
    <w:rsid w:val="00F44D81"/>
    <w:rsid w:val="00F45A06"/>
    <w:rsid w:val="00F47144"/>
    <w:rsid w:val="00F51125"/>
    <w:rsid w:val="00F51F61"/>
    <w:rsid w:val="00F525D1"/>
    <w:rsid w:val="00F529D8"/>
    <w:rsid w:val="00F64B43"/>
    <w:rsid w:val="00F65B79"/>
    <w:rsid w:val="00F70B91"/>
    <w:rsid w:val="00F72220"/>
    <w:rsid w:val="00F81F00"/>
    <w:rsid w:val="00F83504"/>
    <w:rsid w:val="00F83F66"/>
    <w:rsid w:val="00F85F3D"/>
    <w:rsid w:val="00FA000A"/>
    <w:rsid w:val="00FA48AC"/>
    <w:rsid w:val="00FA5DDC"/>
    <w:rsid w:val="00FB048B"/>
    <w:rsid w:val="00FB1DE0"/>
    <w:rsid w:val="00FB2AEC"/>
    <w:rsid w:val="00FB2E54"/>
    <w:rsid w:val="00FB3007"/>
    <w:rsid w:val="00FB712F"/>
    <w:rsid w:val="00FC0D1F"/>
    <w:rsid w:val="00FC3156"/>
    <w:rsid w:val="00FC3A11"/>
    <w:rsid w:val="00FC6837"/>
    <w:rsid w:val="00FD06E4"/>
    <w:rsid w:val="00FD0E35"/>
    <w:rsid w:val="00FD6383"/>
    <w:rsid w:val="00FD63B6"/>
    <w:rsid w:val="00FD7804"/>
    <w:rsid w:val="00FE0DB2"/>
    <w:rsid w:val="00FE1D2E"/>
    <w:rsid w:val="00FE624B"/>
    <w:rsid w:val="00FE7597"/>
    <w:rsid w:val="00FF0289"/>
    <w:rsid w:val="00FF05E0"/>
    <w:rsid w:val="00FF2E05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81AF69F7-1DFC-4C16-B497-FC3E6866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2E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B635BA"/>
    <w:rPr>
      <w:rFonts w:ascii="Tahoma" w:hAnsi="Tahoma" w:cs="Tahoma"/>
      <w:sz w:val="16"/>
      <w:szCs w:val="16"/>
    </w:rPr>
  </w:style>
  <w:style w:type="paragraph" w:customStyle="1" w:styleId="Tekstpodstawowy1">
    <w:name w:val="Tekst podstawowy1"/>
    <w:rsid w:val="00BB73E4"/>
    <w:rPr>
      <w:rFonts w:ascii="Booker" w:hAnsi="Booker"/>
      <w:color w:val="000000"/>
      <w:sz w:val="24"/>
      <w:lang w:val="en-US"/>
    </w:rPr>
  </w:style>
  <w:style w:type="paragraph" w:styleId="Tekstpodstawowy">
    <w:name w:val="Body Text"/>
    <w:basedOn w:val="Normalny"/>
    <w:link w:val="TekstpodstawowyZnak"/>
    <w:rsid w:val="00BB73E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color w:val="00000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73E4"/>
    <w:rPr>
      <w:color w:val="000000"/>
      <w:sz w:val="26"/>
    </w:rPr>
  </w:style>
  <w:style w:type="paragraph" w:styleId="Nagwek">
    <w:name w:val="header"/>
    <w:basedOn w:val="Normalny"/>
    <w:link w:val="NagwekZnak"/>
    <w:rsid w:val="005B5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4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5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4A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023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307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744"/>
  </w:style>
  <w:style w:type="character" w:styleId="Odwoanieprzypisudolnego">
    <w:name w:val="footnote reference"/>
    <w:basedOn w:val="Domylnaczcionkaakapitu"/>
    <w:rsid w:val="00730744"/>
    <w:rPr>
      <w:vertAlign w:val="superscript"/>
    </w:rPr>
  </w:style>
  <w:style w:type="character" w:styleId="Odwoaniedokomentarza">
    <w:name w:val="annotation reference"/>
    <w:basedOn w:val="Domylnaczcionkaakapitu"/>
    <w:rsid w:val="00686B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6B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6B13"/>
  </w:style>
  <w:style w:type="paragraph" w:styleId="Tematkomentarza">
    <w:name w:val="annotation subject"/>
    <w:basedOn w:val="Tekstkomentarza"/>
    <w:next w:val="Tekstkomentarza"/>
    <w:link w:val="TematkomentarzaZnak"/>
    <w:rsid w:val="00686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86B13"/>
    <w:rPr>
      <w:b/>
      <w:bCs/>
    </w:rPr>
  </w:style>
  <w:style w:type="paragraph" w:styleId="Poprawka">
    <w:name w:val="Revision"/>
    <w:hidden/>
    <w:uiPriority w:val="99"/>
    <w:semiHidden/>
    <w:rsid w:val="00AE11AF"/>
    <w:rPr>
      <w:sz w:val="24"/>
      <w:szCs w:val="24"/>
    </w:rPr>
  </w:style>
  <w:style w:type="table" w:styleId="Tabela-Siatka">
    <w:name w:val="Table Grid"/>
    <w:basedOn w:val="Standardowy"/>
    <w:uiPriority w:val="39"/>
    <w:rsid w:val="009F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A15-8DB2-4AC7-86A0-8A0E3342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9606</Words>
  <Characters>57640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……/2009</vt:lpstr>
    </vt:vector>
  </TitlesOfParts>
  <Company>GPW</Company>
  <LinksUpToDate>false</LinksUpToDate>
  <CharactersWithSpaces>67112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……/2009</dc:title>
  <dc:creator>Katarzyna.Zakrzewska;Roman Kędziora</dc:creator>
  <cp:lastModifiedBy>Leszczyńska-Toboła Jolanta</cp:lastModifiedBy>
  <cp:revision>3</cp:revision>
  <cp:lastPrinted>2019-02-25T15:50:00Z</cp:lastPrinted>
  <dcterms:created xsi:type="dcterms:W3CDTF">2019-02-26T14:25:00Z</dcterms:created>
  <dcterms:modified xsi:type="dcterms:W3CDTF">2019-02-26T16:01:00Z</dcterms:modified>
</cp:coreProperties>
</file>