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F0590" w14:textId="2CAC1DD1" w:rsidR="00F55162" w:rsidRPr="008F140B" w:rsidRDefault="00D14DBE" w:rsidP="004B7AEB">
      <w:pPr>
        <w:pStyle w:val="Tekstpodstawow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jc w:val="left"/>
        <w:rPr>
          <w:rFonts w:ascii="Verdana" w:hAnsi="Verdana"/>
          <w:sz w:val="18"/>
          <w:szCs w:val="18"/>
        </w:rPr>
      </w:pPr>
      <w:r w:rsidRPr="008F140B">
        <w:rPr>
          <w:rFonts w:ascii="Verdana" w:hAnsi="Verdana"/>
          <w:sz w:val="18"/>
          <w:szCs w:val="18"/>
        </w:rPr>
        <w:t>Załącznik do Uchwa</w:t>
      </w:r>
      <w:bookmarkStart w:id="0" w:name="_GoBack"/>
      <w:bookmarkEnd w:id="0"/>
      <w:r w:rsidRPr="008F140B">
        <w:rPr>
          <w:rFonts w:ascii="Verdana" w:hAnsi="Verdana"/>
          <w:sz w:val="18"/>
          <w:szCs w:val="18"/>
        </w:rPr>
        <w:t xml:space="preserve">ły Nr </w:t>
      </w:r>
      <w:r w:rsidR="00A109DE">
        <w:rPr>
          <w:rFonts w:ascii="Verdana" w:hAnsi="Verdana"/>
          <w:sz w:val="18"/>
          <w:szCs w:val="18"/>
        </w:rPr>
        <w:t>804</w:t>
      </w:r>
      <w:r w:rsidR="00C420C0" w:rsidRPr="008F140B">
        <w:rPr>
          <w:rFonts w:ascii="Verdana" w:hAnsi="Verdana"/>
          <w:sz w:val="18"/>
          <w:szCs w:val="18"/>
        </w:rPr>
        <w:t>/201</w:t>
      </w:r>
      <w:r w:rsidR="008E195F" w:rsidRPr="008F140B">
        <w:rPr>
          <w:rFonts w:ascii="Verdana" w:hAnsi="Verdana"/>
          <w:sz w:val="18"/>
          <w:szCs w:val="18"/>
        </w:rPr>
        <w:t>9</w:t>
      </w:r>
    </w:p>
    <w:p w14:paraId="575531E3" w14:textId="77777777" w:rsidR="00F55162" w:rsidRPr="008F140B" w:rsidRDefault="00F55162" w:rsidP="004B7AEB">
      <w:pPr>
        <w:pStyle w:val="Tekstpodstawow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jc w:val="left"/>
        <w:rPr>
          <w:rFonts w:ascii="Verdana" w:hAnsi="Verdana"/>
          <w:sz w:val="18"/>
          <w:szCs w:val="18"/>
        </w:rPr>
      </w:pPr>
      <w:r w:rsidRPr="008F140B">
        <w:rPr>
          <w:rFonts w:ascii="Verdana" w:hAnsi="Verdana"/>
          <w:sz w:val="18"/>
          <w:szCs w:val="18"/>
        </w:rPr>
        <w:t>Zarządu Giełdy</w:t>
      </w:r>
      <w:r w:rsidR="00722736" w:rsidRPr="008F140B">
        <w:rPr>
          <w:rFonts w:ascii="Verdana" w:hAnsi="Verdana"/>
          <w:sz w:val="18"/>
          <w:szCs w:val="18"/>
        </w:rPr>
        <w:t xml:space="preserve"> </w:t>
      </w:r>
      <w:r w:rsidRPr="008F140B">
        <w:rPr>
          <w:rFonts w:ascii="Verdana" w:hAnsi="Verdana"/>
          <w:sz w:val="18"/>
          <w:szCs w:val="18"/>
        </w:rPr>
        <w:t>Papierów Wartościowych w Warszawie S.A.</w:t>
      </w:r>
    </w:p>
    <w:p w14:paraId="7A67C3BA" w14:textId="4CAE3CB5" w:rsidR="00D14DBE" w:rsidRPr="008F140B" w:rsidRDefault="005A340D" w:rsidP="004B7AEB">
      <w:pPr>
        <w:pStyle w:val="Tekstpodstawow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jc w:val="left"/>
        <w:rPr>
          <w:rFonts w:ascii="Verdana" w:hAnsi="Verdana"/>
          <w:sz w:val="18"/>
          <w:szCs w:val="18"/>
        </w:rPr>
      </w:pPr>
      <w:r w:rsidRPr="008F140B">
        <w:rPr>
          <w:rFonts w:ascii="Verdana" w:hAnsi="Verdana"/>
          <w:sz w:val="18"/>
          <w:szCs w:val="18"/>
        </w:rPr>
        <w:t>z dnia</w:t>
      </w:r>
      <w:r w:rsidR="002E4E97">
        <w:rPr>
          <w:rFonts w:ascii="Verdana" w:hAnsi="Verdana"/>
          <w:sz w:val="18"/>
          <w:szCs w:val="18"/>
        </w:rPr>
        <w:t xml:space="preserve"> </w:t>
      </w:r>
      <w:r w:rsidR="00A109DE">
        <w:rPr>
          <w:rFonts w:ascii="Verdana" w:hAnsi="Verdana"/>
          <w:sz w:val="18"/>
          <w:szCs w:val="18"/>
        </w:rPr>
        <w:t>12 sierpnia</w:t>
      </w:r>
      <w:r w:rsidR="00394A6B">
        <w:rPr>
          <w:rFonts w:ascii="Verdana" w:hAnsi="Verdana"/>
          <w:sz w:val="18"/>
          <w:szCs w:val="18"/>
        </w:rPr>
        <w:t xml:space="preserve"> </w:t>
      </w:r>
      <w:r w:rsidR="008E195F" w:rsidRPr="008F140B">
        <w:rPr>
          <w:rFonts w:ascii="Verdana" w:hAnsi="Verdana"/>
          <w:sz w:val="18"/>
          <w:szCs w:val="18"/>
        </w:rPr>
        <w:t>2019</w:t>
      </w:r>
      <w:r w:rsidR="00D14DBE" w:rsidRPr="008F140B">
        <w:rPr>
          <w:rFonts w:ascii="Verdana" w:hAnsi="Verdana"/>
          <w:sz w:val="18"/>
          <w:szCs w:val="18"/>
        </w:rPr>
        <w:t xml:space="preserve"> r.</w:t>
      </w:r>
    </w:p>
    <w:p w14:paraId="79CCB6D8" w14:textId="77777777" w:rsidR="00D14DBE" w:rsidRDefault="00D14DBE" w:rsidP="004B7AEB">
      <w:pPr>
        <w:pStyle w:val="Tekstpodstawow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jc w:val="left"/>
        <w:rPr>
          <w:rFonts w:ascii="Verdana" w:hAnsi="Verdana"/>
          <w:sz w:val="20"/>
          <w:szCs w:val="20"/>
        </w:rPr>
      </w:pPr>
    </w:p>
    <w:p w14:paraId="3D8F7B79" w14:textId="19436EB9" w:rsidR="008F140B" w:rsidRDefault="008F140B" w:rsidP="004B7AEB">
      <w:pPr>
        <w:pStyle w:val="Tekstpodstawow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jc w:val="left"/>
        <w:rPr>
          <w:rFonts w:ascii="Verdana" w:hAnsi="Verdana"/>
          <w:sz w:val="20"/>
          <w:szCs w:val="20"/>
        </w:rPr>
      </w:pPr>
    </w:p>
    <w:p w14:paraId="4AFB6F58" w14:textId="77777777" w:rsidR="008B03E9" w:rsidRPr="008638D5" w:rsidRDefault="008B03E9" w:rsidP="004B7AEB">
      <w:pPr>
        <w:pStyle w:val="Tekstpodstawow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jc w:val="left"/>
        <w:rPr>
          <w:rFonts w:ascii="Verdana" w:hAnsi="Verdana"/>
          <w:sz w:val="20"/>
          <w:szCs w:val="20"/>
        </w:rPr>
      </w:pPr>
    </w:p>
    <w:p w14:paraId="4480A64D" w14:textId="13C020F6" w:rsidR="00D14DBE" w:rsidRPr="008B03E9" w:rsidRDefault="00D14DBE" w:rsidP="004B7AEB">
      <w:pPr>
        <w:pStyle w:val="Tekstpodstawow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B03E9">
        <w:rPr>
          <w:rFonts w:ascii="Verdana" w:hAnsi="Verdana"/>
          <w:b/>
          <w:sz w:val="20"/>
          <w:szCs w:val="20"/>
        </w:rPr>
        <w:t xml:space="preserve">SZCZEGÓŁOWE ZASADY KONSTRUKCJI I PODAWANIA DO PUBLICZNEJ WIADOMOŚCI </w:t>
      </w:r>
      <w:r w:rsidR="000F1917" w:rsidRPr="008B03E9">
        <w:rPr>
          <w:rFonts w:ascii="Verdana" w:hAnsi="Verdana"/>
          <w:b/>
          <w:sz w:val="20"/>
          <w:szCs w:val="20"/>
        </w:rPr>
        <w:t xml:space="preserve">INDEKSU </w:t>
      </w:r>
      <w:r w:rsidR="00CA5640" w:rsidRPr="008B03E9">
        <w:rPr>
          <w:rFonts w:ascii="Verdana" w:hAnsi="Verdana"/>
          <w:b/>
          <w:sz w:val="20"/>
          <w:szCs w:val="20"/>
        </w:rPr>
        <w:t>WIG-ESG</w:t>
      </w:r>
    </w:p>
    <w:p w14:paraId="1678AD8B" w14:textId="2AEB6F64" w:rsidR="008F140B" w:rsidRDefault="008F140B" w:rsidP="004B7AEB">
      <w:pPr>
        <w:pStyle w:val="Tekstpodstawow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2EA6719B" w14:textId="77777777" w:rsidR="00D14DBE" w:rsidRPr="008638D5" w:rsidRDefault="00D14DBE" w:rsidP="00BA629C">
      <w:pPr>
        <w:pStyle w:val="Tekstpodstawow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ind w:left="0"/>
        <w:rPr>
          <w:rFonts w:ascii="Verdana" w:hAnsi="Verdana" w:cs="Arial"/>
          <w:sz w:val="20"/>
          <w:szCs w:val="20"/>
        </w:rPr>
      </w:pPr>
    </w:p>
    <w:p w14:paraId="4261256B" w14:textId="77777777" w:rsidR="00D14DBE" w:rsidRPr="008F140B" w:rsidRDefault="00D14DBE" w:rsidP="008F140B">
      <w:pPr>
        <w:pStyle w:val="Tekstpodstawowy2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240" w:line="360" w:lineRule="auto"/>
        <w:ind w:left="567" w:hanging="567"/>
        <w:rPr>
          <w:rFonts w:ascii="Verdana" w:hAnsi="Verdana" w:cs="Arial"/>
          <w:sz w:val="20"/>
          <w:szCs w:val="20"/>
        </w:rPr>
      </w:pPr>
      <w:r w:rsidRPr="008F140B">
        <w:rPr>
          <w:rFonts w:ascii="Verdana" w:hAnsi="Verdana" w:cs="Arial"/>
          <w:b/>
          <w:sz w:val="20"/>
          <w:szCs w:val="20"/>
        </w:rPr>
        <w:t>Cel indeksu</w:t>
      </w:r>
      <w:r w:rsidR="008F140B">
        <w:rPr>
          <w:rFonts w:ascii="Verdana" w:hAnsi="Verdana" w:cs="Arial"/>
          <w:sz w:val="20"/>
          <w:szCs w:val="20"/>
        </w:rPr>
        <w:t xml:space="preserve"> </w:t>
      </w:r>
      <w:r w:rsidRPr="008F140B">
        <w:rPr>
          <w:rFonts w:ascii="Verdana" w:hAnsi="Verdana" w:cs="Arial"/>
          <w:sz w:val="20"/>
          <w:szCs w:val="20"/>
        </w:rPr>
        <w:t xml:space="preserve"> </w:t>
      </w:r>
    </w:p>
    <w:p w14:paraId="23E5591B" w14:textId="4109C37E" w:rsidR="00533F68" w:rsidRPr="008638D5" w:rsidRDefault="008E195F" w:rsidP="004B7AEB">
      <w:pPr>
        <w:pStyle w:val="Tekstpodstawowy2"/>
        <w:numPr>
          <w:ilvl w:val="1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Indeks WIG-ESG</w:t>
      </w:r>
      <w:r w:rsidR="00D14DBE" w:rsidRPr="008638D5">
        <w:rPr>
          <w:rFonts w:ascii="Verdana" w:hAnsi="Verdana" w:cs="Arial"/>
          <w:sz w:val="20"/>
          <w:szCs w:val="20"/>
        </w:rPr>
        <w:t xml:space="preserve"> służy ocenie koniunktury wśród spółek</w:t>
      </w:r>
      <w:r w:rsidR="007F1FC6">
        <w:rPr>
          <w:rFonts w:ascii="Verdana" w:hAnsi="Verdana" w:cs="Arial"/>
          <w:sz w:val="20"/>
          <w:szCs w:val="20"/>
        </w:rPr>
        <w:t xml:space="preserve"> giełdowych, o których mowa w pkt</w:t>
      </w:r>
      <w:r w:rsidR="001308D6">
        <w:rPr>
          <w:rFonts w:ascii="Verdana" w:hAnsi="Verdana" w:cs="Arial"/>
          <w:sz w:val="20"/>
          <w:szCs w:val="20"/>
        </w:rPr>
        <w:t>.</w:t>
      </w:r>
      <w:r w:rsidR="007F1FC6">
        <w:rPr>
          <w:rFonts w:ascii="Verdana" w:hAnsi="Verdana" w:cs="Arial"/>
          <w:sz w:val="20"/>
          <w:szCs w:val="20"/>
        </w:rPr>
        <w:t xml:space="preserve"> IV, </w:t>
      </w:r>
      <w:r w:rsidR="00CA5640" w:rsidRPr="008638D5">
        <w:rPr>
          <w:rFonts w:ascii="Verdana" w:hAnsi="Verdana" w:cs="Arial"/>
          <w:sz w:val="20"/>
          <w:szCs w:val="20"/>
        </w:rPr>
        <w:t>uznawanych za odpowiedzialne społecznie</w:t>
      </w:r>
      <w:r w:rsidR="00C33C9E">
        <w:rPr>
          <w:rFonts w:ascii="Verdana" w:hAnsi="Verdana" w:cs="Arial"/>
          <w:sz w:val="20"/>
          <w:szCs w:val="20"/>
        </w:rPr>
        <w:t>,</w:t>
      </w:r>
      <w:r w:rsidR="00611003" w:rsidRPr="008638D5">
        <w:rPr>
          <w:rFonts w:ascii="Verdana" w:hAnsi="Verdana" w:cs="Arial"/>
          <w:sz w:val="20"/>
          <w:szCs w:val="20"/>
        </w:rPr>
        <w:t xml:space="preserve"> tj. takich, które przestrzegają zasad biznesu odpowiedzialnego społecznie</w:t>
      </w:r>
      <w:r w:rsidR="00533F68" w:rsidRPr="008638D5">
        <w:rPr>
          <w:rFonts w:ascii="Verdana" w:hAnsi="Verdana" w:cs="Arial"/>
          <w:sz w:val="20"/>
          <w:szCs w:val="20"/>
        </w:rPr>
        <w:t xml:space="preserve">, w szczególności </w:t>
      </w:r>
      <w:r w:rsidR="005E1474">
        <w:rPr>
          <w:rFonts w:ascii="Verdana" w:hAnsi="Verdana" w:cs="Arial"/>
          <w:sz w:val="20"/>
          <w:szCs w:val="20"/>
        </w:rPr>
        <w:br/>
      </w:r>
      <w:r w:rsidR="00533F68" w:rsidRPr="008638D5">
        <w:rPr>
          <w:rFonts w:ascii="Verdana" w:hAnsi="Verdana" w:cs="Arial"/>
          <w:sz w:val="20"/>
          <w:szCs w:val="20"/>
        </w:rPr>
        <w:t>w zakresie kwestii środowiskowych, społecznych</w:t>
      </w:r>
      <w:r w:rsidR="004A176F">
        <w:rPr>
          <w:rFonts w:ascii="Verdana" w:hAnsi="Verdana" w:cs="Arial"/>
          <w:sz w:val="20"/>
          <w:szCs w:val="20"/>
        </w:rPr>
        <w:t>,</w:t>
      </w:r>
      <w:r w:rsidR="00533F68" w:rsidRPr="008638D5">
        <w:rPr>
          <w:rFonts w:ascii="Verdana" w:hAnsi="Verdana" w:cs="Arial"/>
          <w:sz w:val="20"/>
          <w:szCs w:val="20"/>
        </w:rPr>
        <w:t xml:space="preserve"> ekonomicznych</w:t>
      </w:r>
      <w:r w:rsidR="004A176F">
        <w:rPr>
          <w:rFonts w:ascii="Verdana" w:hAnsi="Verdana" w:cs="Arial"/>
          <w:sz w:val="20"/>
          <w:szCs w:val="20"/>
        </w:rPr>
        <w:t xml:space="preserve"> i ładu korporacyjnego</w:t>
      </w:r>
      <w:r w:rsidR="00CA5640" w:rsidRPr="008638D5">
        <w:rPr>
          <w:rFonts w:ascii="Verdana" w:hAnsi="Verdana" w:cs="Arial"/>
          <w:sz w:val="20"/>
          <w:szCs w:val="20"/>
        </w:rPr>
        <w:t xml:space="preserve">. </w:t>
      </w:r>
    </w:p>
    <w:p w14:paraId="3098357B" w14:textId="7BFBF6DB" w:rsidR="00611003" w:rsidRDefault="00CA5640" w:rsidP="004B7AEB">
      <w:pPr>
        <w:pStyle w:val="Tekstpodstawowy2"/>
        <w:numPr>
          <w:ilvl w:val="1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Podstawą kwa</w:t>
      </w:r>
      <w:r w:rsidR="00533F68" w:rsidRPr="008638D5">
        <w:rPr>
          <w:rFonts w:ascii="Verdana" w:hAnsi="Verdana" w:cs="Arial"/>
          <w:sz w:val="20"/>
          <w:szCs w:val="20"/>
        </w:rPr>
        <w:t xml:space="preserve">lifikacji spółek do indeksu </w:t>
      </w:r>
      <w:r w:rsidR="00C303D3" w:rsidRPr="008638D5">
        <w:rPr>
          <w:rFonts w:ascii="Verdana" w:hAnsi="Verdana" w:cs="Arial"/>
          <w:sz w:val="20"/>
          <w:szCs w:val="20"/>
        </w:rPr>
        <w:t xml:space="preserve">WIG-ESG </w:t>
      </w:r>
      <w:r w:rsidR="00533F68" w:rsidRPr="008638D5">
        <w:rPr>
          <w:rFonts w:ascii="Verdana" w:hAnsi="Verdana" w:cs="Arial"/>
          <w:sz w:val="20"/>
          <w:szCs w:val="20"/>
        </w:rPr>
        <w:t>są</w:t>
      </w:r>
      <w:r w:rsidRPr="008638D5">
        <w:rPr>
          <w:rFonts w:ascii="Verdana" w:hAnsi="Verdana" w:cs="Arial"/>
          <w:sz w:val="20"/>
          <w:szCs w:val="20"/>
        </w:rPr>
        <w:t xml:space="preserve"> </w:t>
      </w:r>
      <w:r w:rsidR="00F41630" w:rsidRPr="008638D5">
        <w:rPr>
          <w:rFonts w:ascii="Verdana" w:hAnsi="Verdana" w:cs="Arial"/>
          <w:sz w:val="20"/>
          <w:szCs w:val="20"/>
        </w:rPr>
        <w:t xml:space="preserve">Ranking </w:t>
      </w:r>
      <w:r w:rsidR="00611003" w:rsidRPr="008638D5">
        <w:rPr>
          <w:rFonts w:ascii="Verdana" w:hAnsi="Verdana" w:cs="Arial"/>
          <w:sz w:val="20"/>
          <w:szCs w:val="20"/>
        </w:rPr>
        <w:t>ESG</w:t>
      </w:r>
      <w:r w:rsidR="00F41630" w:rsidRPr="008638D5">
        <w:rPr>
          <w:rFonts w:ascii="Verdana" w:hAnsi="Verdana" w:cs="Arial"/>
          <w:sz w:val="20"/>
          <w:szCs w:val="20"/>
        </w:rPr>
        <w:t xml:space="preserve"> oraz Ranking Dobrych Praktyk</w:t>
      </w:r>
      <w:r w:rsidR="00611003" w:rsidRPr="008638D5">
        <w:rPr>
          <w:rFonts w:ascii="Verdana" w:hAnsi="Verdana" w:cs="Arial"/>
          <w:sz w:val="20"/>
          <w:szCs w:val="20"/>
        </w:rPr>
        <w:t>.</w:t>
      </w:r>
    </w:p>
    <w:p w14:paraId="4032B49E" w14:textId="77777777" w:rsidR="002E4E97" w:rsidRPr="008638D5" w:rsidRDefault="002E4E97" w:rsidP="002E4E97">
      <w:pPr>
        <w:pStyle w:val="Tekstpodstawowy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ind w:left="360"/>
        <w:rPr>
          <w:rFonts w:ascii="Verdana" w:hAnsi="Verdana" w:cs="Arial"/>
          <w:sz w:val="20"/>
          <w:szCs w:val="20"/>
        </w:rPr>
      </w:pPr>
    </w:p>
    <w:p w14:paraId="7A9AEDC2" w14:textId="77777777" w:rsidR="00F41630" w:rsidRPr="008F140B" w:rsidRDefault="00F41630" w:rsidP="008F140B">
      <w:pPr>
        <w:pStyle w:val="Tekstpodstawowy2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240" w:line="360" w:lineRule="auto"/>
        <w:ind w:left="567" w:hanging="567"/>
        <w:rPr>
          <w:rFonts w:ascii="Verdana" w:hAnsi="Verdana" w:cs="Arial"/>
          <w:b/>
          <w:sz w:val="20"/>
          <w:szCs w:val="20"/>
        </w:rPr>
      </w:pPr>
      <w:r w:rsidRPr="008F140B">
        <w:rPr>
          <w:rFonts w:ascii="Verdana" w:hAnsi="Verdana"/>
          <w:b/>
          <w:sz w:val="20"/>
          <w:szCs w:val="20"/>
        </w:rPr>
        <w:t>Ranking</w:t>
      </w:r>
      <w:r w:rsidR="00C4312A" w:rsidRPr="008F140B">
        <w:rPr>
          <w:rFonts w:ascii="Verdana" w:hAnsi="Verdana"/>
          <w:b/>
          <w:sz w:val="20"/>
          <w:szCs w:val="20"/>
        </w:rPr>
        <w:t>i</w:t>
      </w:r>
      <w:r w:rsidRPr="008F140B">
        <w:rPr>
          <w:rFonts w:ascii="Verdana" w:hAnsi="Verdana"/>
          <w:b/>
          <w:sz w:val="20"/>
          <w:szCs w:val="20"/>
        </w:rPr>
        <w:t xml:space="preserve"> indeksu</w:t>
      </w:r>
    </w:p>
    <w:p w14:paraId="24A0204B" w14:textId="05382C84" w:rsidR="007F1FC6" w:rsidRPr="008638D5" w:rsidRDefault="007F1FC6" w:rsidP="007F1FC6">
      <w:pPr>
        <w:pStyle w:val="Tekstpodstawowy2"/>
        <w:numPr>
          <w:ilvl w:val="1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Ranking ESG </w:t>
      </w:r>
      <w:r w:rsidR="00C650A9">
        <w:rPr>
          <w:rFonts w:ascii="Verdana" w:hAnsi="Verdana" w:cs="Arial"/>
          <w:sz w:val="20"/>
          <w:szCs w:val="20"/>
        </w:rPr>
        <w:t>powstaje</w:t>
      </w:r>
      <w:r w:rsidRPr="008638D5">
        <w:rPr>
          <w:rFonts w:ascii="Verdana" w:hAnsi="Verdana" w:cs="Arial"/>
          <w:sz w:val="20"/>
          <w:szCs w:val="20"/>
        </w:rPr>
        <w:t xml:space="preserve"> na podstawie </w:t>
      </w:r>
      <w:r>
        <w:rPr>
          <w:rFonts w:ascii="Verdana" w:hAnsi="Verdana" w:cs="Arial"/>
          <w:sz w:val="20"/>
          <w:szCs w:val="20"/>
        </w:rPr>
        <w:t xml:space="preserve">analizy </w:t>
      </w:r>
      <w:r w:rsidRPr="008638D5">
        <w:rPr>
          <w:rFonts w:ascii="Verdana" w:hAnsi="Verdana" w:cs="Arial"/>
          <w:sz w:val="20"/>
          <w:szCs w:val="20"/>
        </w:rPr>
        <w:t xml:space="preserve">raportów opracowywanych </w:t>
      </w:r>
      <w:r>
        <w:rPr>
          <w:rFonts w:ascii="Verdana" w:hAnsi="Verdana" w:cs="Arial"/>
          <w:sz w:val="20"/>
          <w:szCs w:val="20"/>
        </w:rPr>
        <w:t xml:space="preserve">w ramach </w:t>
      </w:r>
      <w:r w:rsidRPr="008638D5">
        <w:rPr>
          <w:rFonts w:ascii="Verdana" w:hAnsi="Verdana" w:cs="Arial"/>
          <w:sz w:val="20"/>
          <w:szCs w:val="20"/>
        </w:rPr>
        <w:t xml:space="preserve">ESG Risk Rating przez </w:t>
      </w:r>
      <w:r w:rsidRPr="00832A33">
        <w:rPr>
          <w:rFonts w:ascii="Verdana" w:hAnsi="Verdana" w:cs="Arial"/>
          <w:sz w:val="20"/>
          <w:szCs w:val="20"/>
        </w:rPr>
        <w:t>Sustaina</w:t>
      </w:r>
      <w:r w:rsidR="00102FA7" w:rsidRPr="00832A33">
        <w:rPr>
          <w:rFonts w:ascii="Verdana" w:hAnsi="Verdana" w:cs="Arial"/>
          <w:sz w:val="20"/>
          <w:szCs w:val="20"/>
        </w:rPr>
        <w:t>lyti</w:t>
      </w:r>
      <w:r w:rsidRPr="00832A33">
        <w:rPr>
          <w:rFonts w:ascii="Verdana" w:hAnsi="Verdana" w:cs="Arial"/>
          <w:sz w:val="20"/>
          <w:szCs w:val="20"/>
        </w:rPr>
        <w:t>cs</w:t>
      </w:r>
      <w:r w:rsidR="00832A33">
        <w:rPr>
          <w:rFonts w:ascii="Verdana" w:hAnsi="Verdana" w:cs="Arial"/>
          <w:sz w:val="20"/>
          <w:szCs w:val="20"/>
        </w:rPr>
        <w:t> </w:t>
      </w:r>
      <w:r w:rsidR="00832A33" w:rsidRPr="00832A33">
        <w:rPr>
          <w:rFonts w:ascii="Verdana" w:hAnsi="Verdana"/>
          <w:color w:val="auto"/>
          <w:sz w:val="20"/>
          <w:szCs w:val="20"/>
        </w:rPr>
        <w:t>B.V.</w:t>
      </w:r>
      <w:r w:rsidR="00832A33">
        <w:rPr>
          <w:rFonts w:ascii="Verdana" w:hAnsi="Verdana" w:cs="Arial"/>
          <w:color w:val="auto"/>
          <w:sz w:val="20"/>
          <w:szCs w:val="20"/>
        </w:rPr>
        <w:t xml:space="preserve">, </w:t>
      </w:r>
      <w:r w:rsidRPr="00832A33">
        <w:rPr>
          <w:rFonts w:ascii="Verdana" w:hAnsi="Verdana" w:cs="Arial"/>
          <w:sz w:val="20"/>
          <w:szCs w:val="20"/>
        </w:rPr>
        <w:t>ni</w:t>
      </w:r>
      <w:r w:rsidRPr="008638D5">
        <w:rPr>
          <w:rFonts w:ascii="Verdana" w:hAnsi="Verdana" w:cs="Arial"/>
          <w:sz w:val="20"/>
          <w:szCs w:val="20"/>
        </w:rPr>
        <w:t>ezależną agencję skoringowową</w:t>
      </w:r>
      <w:r>
        <w:rPr>
          <w:rFonts w:ascii="Verdana" w:hAnsi="Verdana" w:cs="Arial"/>
          <w:sz w:val="20"/>
          <w:szCs w:val="20"/>
        </w:rPr>
        <w:t xml:space="preserve"> („Raporty</w:t>
      </w:r>
      <w:r w:rsidRPr="003B52F1">
        <w:rPr>
          <w:rFonts w:ascii="Verdana" w:hAnsi="Verdana" w:cs="Arial"/>
          <w:sz w:val="20"/>
          <w:szCs w:val="20"/>
        </w:rPr>
        <w:t xml:space="preserve"> </w:t>
      </w:r>
      <w:r w:rsidRPr="008638D5">
        <w:rPr>
          <w:rFonts w:ascii="Verdana" w:hAnsi="Verdana" w:cs="Arial"/>
          <w:sz w:val="20"/>
          <w:szCs w:val="20"/>
        </w:rPr>
        <w:t>ESG Risk Rating</w:t>
      </w:r>
      <w:r>
        <w:rPr>
          <w:rFonts w:ascii="Verdana" w:hAnsi="Verdana" w:cs="Arial"/>
          <w:sz w:val="20"/>
          <w:szCs w:val="20"/>
        </w:rPr>
        <w:t>”)</w:t>
      </w:r>
      <w:r w:rsidRPr="008638D5">
        <w:rPr>
          <w:rFonts w:ascii="Verdana" w:hAnsi="Verdana" w:cs="Arial"/>
          <w:sz w:val="20"/>
          <w:szCs w:val="20"/>
        </w:rPr>
        <w:t xml:space="preserve">. Zasady opracowywania </w:t>
      </w:r>
      <w:r>
        <w:rPr>
          <w:rFonts w:ascii="Verdana" w:hAnsi="Verdana" w:cs="Arial"/>
          <w:sz w:val="20"/>
          <w:szCs w:val="20"/>
        </w:rPr>
        <w:t xml:space="preserve">tych </w:t>
      </w:r>
      <w:r w:rsidRPr="008638D5">
        <w:rPr>
          <w:rFonts w:ascii="Verdana" w:hAnsi="Verdana" w:cs="Arial"/>
          <w:sz w:val="20"/>
          <w:szCs w:val="20"/>
        </w:rPr>
        <w:t xml:space="preserve">raportów </w:t>
      </w:r>
      <w:r>
        <w:rPr>
          <w:rFonts w:ascii="Verdana" w:hAnsi="Verdana" w:cs="Arial"/>
          <w:sz w:val="20"/>
          <w:szCs w:val="20"/>
        </w:rPr>
        <w:t xml:space="preserve">przez </w:t>
      </w:r>
      <w:r w:rsidR="00102FA7" w:rsidRPr="008638D5">
        <w:rPr>
          <w:rFonts w:ascii="Verdana" w:hAnsi="Verdana" w:cs="Arial"/>
          <w:sz w:val="20"/>
          <w:szCs w:val="20"/>
        </w:rPr>
        <w:t>Sustaina</w:t>
      </w:r>
      <w:r w:rsidR="00102FA7">
        <w:rPr>
          <w:rFonts w:ascii="Verdana" w:hAnsi="Verdana" w:cs="Arial"/>
          <w:sz w:val="20"/>
          <w:szCs w:val="20"/>
        </w:rPr>
        <w:t>lyti</w:t>
      </w:r>
      <w:r w:rsidR="00102FA7" w:rsidRPr="008638D5">
        <w:rPr>
          <w:rFonts w:ascii="Verdana" w:hAnsi="Verdana" w:cs="Arial"/>
          <w:sz w:val="20"/>
          <w:szCs w:val="20"/>
        </w:rPr>
        <w:t xml:space="preserve">cs </w:t>
      </w:r>
      <w:r w:rsidR="00832A33">
        <w:rPr>
          <w:rFonts w:ascii="Verdana" w:hAnsi="Verdana" w:cs="Arial"/>
          <w:sz w:val="20"/>
          <w:szCs w:val="20"/>
        </w:rPr>
        <w:t xml:space="preserve">B.V. </w:t>
      </w:r>
      <w:r w:rsidRPr="008638D5">
        <w:rPr>
          <w:rFonts w:ascii="Verdana" w:hAnsi="Verdana" w:cs="Arial"/>
          <w:sz w:val="20"/>
          <w:szCs w:val="20"/>
        </w:rPr>
        <w:t xml:space="preserve">określa metodyka dostępna w serwisie </w:t>
      </w:r>
      <w:hyperlink r:id="rId9" w:history="1">
        <w:r w:rsidR="00102FA7" w:rsidRPr="00F02896">
          <w:rPr>
            <w:rStyle w:val="Hipercze"/>
            <w:rFonts w:ascii="Verdana" w:hAnsi="Verdana" w:cs="Arial"/>
            <w:sz w:val="20"/>
            <w:szCs w:val="20"/>
          </w:rPr>
          <w:t>www.</w:t>
        </w:r>
        <w:r w:rsidR="00102FA7" w:rsidRPr="00F02896">
          <w:rPr>
            <w:rStyle w:val="Hipercze"/>
            <w:rFonts w:ascii="Verdana" w:hAnsi="Verdana"/>
            <w:sz w:val="20"/>
            <w:szCs w:val="20"/>
          </w:rPr>
          <w:t>sustainalytics</w:t>
        </w:r>
        <w:r w:rsidR="00102FA7" w:rsidRPr="00F02896">
          <w:rPr>
            <w:rStyle w:val="Hipercze"/>
            <w:rFonts w:ascii="Verdana" w:hAnsi="Verdana" w:cs="Arial"/>
            <w:sz w:val="20"/>
            <w:szCs w:val="20"/>
          </w:rPr>
          <w:t>.com</w:t>
        </w:r>
      </w:hyperlink>
      <w:r w:rsidRPr="008638D5">
        <w:rPr>
          <w:rFonts w:ascii="Verdana" w:hAnsi="Verdana" w:cs="Arial"/>
          <w:sz w:val="20"/>
          <w:szCs w:val="20"/>
        </w:rPr>
        <w:t xml:space="preserve"> </w:t>
      </w:r>
    </w:p>
    <w:p w14:paraId="2E03979E" w14:textId="763DE0EB" w:rsidR="00533F68" w:rsidRPr="008638D5" w:rsidRDefault="00533F68" w:rsidP="004B7AEB">
      <w:pPr>
        <w:pStyle w:val="Tekstpodstawowy2"/>
        <w:numPr>
          <w:ilvl w:val="1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Ranking ESG jest sporządzany raz </w:t>
      </w:r>
      <w:r w:rsidR="00C33C9E">
        <w:rPr>
          <w:rFonts w:ascii="Verdana" w:hAnsi="Verdana" w:cs="Arial"/>
          <w:sz w:val="20"/>
          <w:szCs w:val="20"/>
        </w:rPr>
        <w:t>w</w:t>
      </w:r>
      <w:r w:rsidR="00C33C9E" w:rsidRPr="008638D5">
        <w:rPr>
          <w:rFonts w:ascii="Verdana" w:hAnsi="Verdana" w:cs="Arial"/>
          <w:sz w:val="20"/>
          <w:szCs w:val="20"/>
        </w:rPr>
        <w:t xml:space="preserve"> </w:t>
      </w:r>
      <w:r w:rsidRPr="008638D5">
        <w:rPr>
          <w:rFonts w:ascii="Verdana" w:hAnsi="Verdana" w:cs="Arial"/>
          <w:sz w:val="20"/>
          <w:szCs w:val="20"/>
        </w:rPr>
        <w:t>rok</w:t>
      </w:r>
      <w:r w:rsidR="00C33C9E">
        <w:rPr>
          <w:rFonts w:ascii="Verdana" w:hAnsi="Verdana" w:cs="Arial"/>
          <w:sz w:val="20"/>
          <w:szCs w:val="20"/>
        </w:rPr>
        <w:t>u</w:t>
      </w:r>
      <w:r w:rsidR="00F24EA1" w:rsidRPr="008638D5">
        <w:rPr>
          <w:rFonts w:ascii="Verdana" w:hAnsi="Verdana" w:cs="Arial"/>
          <w:sz w:val="20"/>
          <w:szCs w:val="20"/>
        </w:rPr>
        <w:t xml:space="preserve"> po ostatniej sesji lipca</w:t>
      </w:r>
      <w:r w:rsidR="00C650A9">
        <w:rPr>
          <w:rFonts w:ascii="Verdana" w:hAnsi="Verdana" w:cs="Arial"/>
          <w:sz w:val="20"/>
          <w:szCs w:val="20"/>
        </w:rPr>
        <w:t xml:space="preserve">, </w:t>
      </w:r>
      <w:r w:rsidRPr="008638D5">
        <w:rPr>
          <w:rFonts w:ascii="Verdana" w:hAnsi="Verdana" w:cs="Arial"/>
          <w:sz w:val="20"/>
          <w:szCs w:val="20"/>
        </w:rPr>
        <w:t xml:space="preserve">na podstawie </w:t>
      </w:r>
      <w:r w:rsidR="00F24EA1" w:rsidRPr="008638D5">
        <w:rPr>
          <w:rFonts w:ascii="Verdana" w:hAnsi="Verdana" w:cs="Arial"/>
          <w:sz w:val="20"/>
          <w:szCs w:val="20"/>
        </w:rPr>
        <w:t xml:space="preserve">liczby </w:t>
      </w:r>
      <w:r w:rsidRPr="008638D5">
        <w:rPr>
          <w:rFonts w:ascii="Verdana" w:hAnsi="Verdana" w:cs="Arial"/>
          <w:sz w:val="20"/>
          <w:szCs w:val="20"/>
        </w:rPr>
        <w:t>punktów uzyskanych przez spółk</w:t>
      </w:r>
      <w:r w:rsidR="00F24EA1" w:rsidRPr="008638D5">
        <w:rPr>
          <w:rFonts w:ascii="Verdana" w:hAnsi="Verdana" w:cs="Arial"/>
          <w:sz w:val="20"/>
          <w:szCs w:val="20"/>
        </w:rPr>
        <w:t>i</w:t>
      </w:r>
      <w:r w:rsidRPr="008638D5">
        <w:rPr>
          <w:rFonts w:ascii="Verdana" w:hAnsi="Verdana" w:cs="Arial"/>
          <w:sz w:val="20"/>
          <w:szCs w:val="20"/>
        </w:rPr>
        <w:t xml:space="preserve"> w </w:t>
      </w:r>
      <w:r w:rsidR="00F24EA1" w:rsidRPr="008638D5">
        <w:rPr>
          <w:rFonts w:ascii="Verdana" w:hAnsi="Verdana" w:cs="Arial"/>
          <w:sz w:val="20"/>
          <w:szCs w:val="20"/>
        </w:rPr>
        <w:t xml:space="preserve">ostatnich </w:t>
      </w:r>
      <w:r w:rsidRPr="008638D5">
        <w:rPr>
          <w:rFonts w:ascii="Verdana" w:hAnsi="Verdana" w:cs="Arial"/>
          <w:sz w:val="20"/>
          <w:szCs w:val="20"/>
        </w:rPr>
        <w:t>Raportach ESG Risk Rating</w:t>
      </w:r>
      <w:r w:rsidR="00F24EA1" w:rsidRPr="008638D5">
        <w:rPr>
          <w:rFonts w:ascii="Verdana" w:hAnsi="Verdana" w:cs="Arial"/>
          <w:sz w:val="20"/>
          <w:szCs w:val="20"/>
        </w:rPr>
        <w:t>.</w:t>
      </w:r>
      <w:r w:rsidRPr="008638D5">
        <w:rPr>
          <w:rFonts w:ascii="Verdana" w:hAnsi="Verdana" w:cs="Arial"/>
          <w:sz w:val="20"/>
          <w:szCs w:val="20"/>
        </w:rPr>
        <w:t xml:space="preserve"> </w:t>
      </w:r>
    </w:p>
    <w:p w14:paraId="5ADC4EFB" w14:textId="1D3AD1B3" w:rsidR="00DD60FA" w:rsidRPr="008638D5" w:rsidRDefault="00F24EA1" w:rsidP="004B7AEB">
      <w:pPr>
        <w:pStyle w:val="Tekstpodstawowy2"/>
        <w:numPr>
          <w:ilvl w:val="1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Spółki mogą uzyskać </w:t>
      </w:r>
      <w:r w:rsidR="00C650A9" w:rsidRPr="008638D5">
        <w:rPr>
          <w:rFonts w:ascii="Verdana" w:hAnsi="Verdana" w:cs="Arial"/>
          <w:sz w:val="20"/>
          <w:szCs w:val="20"/>
        </w:rPr>
        <w:t xml:space="preserve">w Rankingu ESG </w:t>
      </w:r>
      <w:r w:rsidRPr="008638D5">
        <w:rPr>
          <w:rFonts w:ascii="Verdana" w:hAnsi="Verdana" w:cs="Arial"/>
          <w:sz w:val="20"/>
          <w:szCs w:val="20"/>
        </w:rPr>
        <w:t xml:space="preserve">od </w:t>
      </w:r>
      <w:r w:rsidR="00C4312A" w:rsidRPr="008638D5">
        <w:rPr>
          <w:rFonts w:ascii="Verdana" w:hAnsi="Verdana" w:cs="Arial"/>
          <w:sz w:val="20"/>
          <w:szCs w:val="20"/>
        </w:rPr>
        <w:t>0 do 100 punktów,</w:t>
      </w:r>
      <w:r w:rsidR="00DD60FA" w:rsidRPr="008638D5">
        <w:rPr>
          <w:rFonts w:ascii="Verdana" w:hAnsi="Verdana" w:cs="Arial"/>
          <w:sz w:val="20"/>
          <w:szCs w:val="20"/>
        </w:rPr>
        <w:t xml:space="preserve"> przy czym </w:t>
      </w:r>
      <w:r w:rsidR="003B52F1">
        <w:rPr>
          <w:rFonts w:ascii="Verdana" w:hAnsi="Verdana" w:cs="Arial"/>
          <w:sz w:val="20"/>
          <w:szCs w:val="20"/>
        </w:rPr>
        <w:t xml:space="preserve">uznaje się, że </w:t>
      </w:r>
      <w:r w:rsidR="001F2C32" w:rsidRPr="008638D5">
        <w:rPr>
          <w:rFonts w:ascii="Verdana" w:hAnsi="Verdana" w:cs="Arial"/>
          <w:sz w:val="20"/>
          <w:szCs w:val="20"/>
        </w:rPr>
        <w:t xml:space="preserve">im niższa liczba przyznanych punktów, tym spółka lepiej </w:t>
      </w:r>
      <w:r w:rsidR="003B52F1">
        <w:rPr>
          <w:rFonts w:ascii="Verdana" w:hAnsi="Verdana" w:cs="Arial"/>
          <w:sz w:val="20"/>
          <w:szCs w:val="20"/>
        </w:rPr>
        <w:t>pr</w:t>
      </w:r>
      <w:r w:rsidR="00336211">
        <w:rPr>
          <w:rFonts w:ascii="Verdana" w:hAnsi="Verdana" w:cs="Arial"/>
          <w:sz w:val="20"/>
          <w:szCs w:val="20"/>
        </w:rPr>
        <w:t>z</w:t>
      </w:r>
      <w:r w:rsidR="003B52F1">
        <w:rPr>
          <w:rFonts w:ascii="Verdana" w:hAnsi="Verdana" w:cs="Arial"/>
          <w:sz w:val="20"/>
          <w:szCs w:val="20"/>
        </w:rPr>
        <w:t>estrzega zasad</w:t>
      </w:r>
      <w:r w:rsidR="001F2C32" w:rsidRPr="008638D5">
        <w:rPr>
          <w:rFonts w:ascii="Verdana" w:hAnsi="Verdana" w:cs="Arial"/>
          <w:sz w:val="20"/>
          <w:szCs w:val="20"/>
        </w:rPr>
        <w:t xml:space="preserve"> biznesu odpowiedzialnego społecznie.</w:t>
      </w:r>
      <w:r w:rsidR="00C4312A" w:rsidRPr="008638D5">
        <w:rPr>
          <w:rFonts w:ascii="Verdana" w:hAnsi="Verdana" w:cs="Arial"/>
          <w:sz w:val="20"/>
          <w:szCs w:val="20"/>
        </w:rPr>
        <w:t xml:space="preserve"> </w:t>
      </w:r>
    </w:p>
    <w:p w14:paraId="50CED111" w14:textId="3E0E95E7" w:rsidR="00C4312A" w:rsidRDefault="0050390A" w:rsidP="0050390A">
      <w:pPr>
        <w:pStyle w:val="Tekstpodstawowy2"/>
        <w:numPr>
          <w:ilvl w:val="1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360" w:lineRule="auto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Spółki </w:t>
      </w:r>
      <w:r w:rsidR="003B52F1">
        <w:rPr>
          <w:rFonts w:ascii="Verdana" w:hAnsi="Verdana" w:cs="Arial"/>
          <w:sz w:val="20"/>
          <w:szCs w:val="20"/>
        </w:rPr>
        <w:t>szeregowane</w:t>
      </w:r>
      <w:r w:rsidRPr="008638D5">
        <w:rPr>
          <w:rFonts w:ascii="Verdana" w:hAnsi="Verdana" w:cs="Arial"/>
          <w:sz w:val="20"/>
          <w:szCs w:val="20"/>
        </w:rPr>
        <w:t xml:space="preserve"> są w Rankingu</w:t>
      </w:r>
      <w:r w:rsidR="00C650A9">
        <w:rPr>
          <w:rFonts w:ascii="Verdana" w:hAnsi="Verdana" w:cs="Arial"/>
          <w:sz w:val="20"/>
          <w:szCs w:val="20"/>
        </w:rPr>
        <w:t xml:space="preserve"> ESG </w:t>
      </w:r>
      <w:r w:rsidRPr="008638D5">
        <w:rPr>
          <w:rFonts w:ascii="Verdana" w:hAnsi="Verdana" w:cs="Arial"/>
          <w:sz w:val="20"/>
          <w:szCs w:val="20"/>
        </w:rPr>
        <w:t xml:space="preserve">rosnąco </w:t>
      </w:r>
      <w:r w:rsidR="003B52F1">
        <w:rPr>
          <w:rFonts w:ascii="Verdana" w:hAnsi="Verdana" w:cs="Arial"/>
          <w:sz w:val="20"/>
          <w:szCs w:val="20"/>
        </w:rPr>
        <w:t>zgodnie</w:t>
      </w:r>
      <w:r w:rsidR="003B52F1" w:rsidRPr="008638D5">
        <w:rPr>
          <w:rFonts w:ascii="Verdana" w:hAnsi="Verdana" w:cs="Arial"/>
          <w:sz w:val="20"/>
          <w:szCs w:val="20"/>
        </w:rPr>
        <w:t xml:space="preserve"> </w:t>
      </w:r>
      <w:r w:rsidRPr="008638D5">
        <w:rPr>
          <w:rFonts w:ascii="Verdana" w:hAnsi="Verdana" w:cs="Arial"/>
          <w:sz w:val="20"/>
          <w:szCs w:val="20"/>
        </w:rPr>
        <w:t xml:space="preserve">z punktacją </w:t>
      </w:r>
      <w:r w:rsidR="001E24DE" w:rsidRPr="008638D5">
        <w:rPr>
          <w:rFonts w:ascii="Verdana" w:hAnsi="Verdana" w:cs="Arial"/>
          <w:sz w:val="20"/>
          <w:szCs w:val="20"/>
        </w:rPr>
        <w:t>uzysk</w:t>
      </w:r>
      <w:r w:rsidR="003A3782">
        <w:rPr>
          <w:rFonts w:ascii="Verdana" w:hAnsi="Verdana" w:cs="Arial"/>
          <w:sz w:val="20"/>
          <w:szCs w:val="20"/>
        </w:rPr>
        <w:t>a</w:t>
      </w:r>
      <w:r w:rsidR="001E24DE" w:rsidRPr="008638D5">
        <w:rPr>
          <w:rFonts w:ascii="Verdana" w:hAnsi="Verdana" w:cs="Arial"/>
          <w:sz w:val="20"/>
          <w:szCs w:val="20"/>
        </w:rPr>
        <w:t>ną</w:t>
      </w:r>
      <w:r w:rsidRPr="008638D5">
        <w:rPr>
          <w:rFonts w:ascii="Verdana" w:hAnsi="Verdana" w:cs="Arial"/>
          <w:sz w:val="20"/>
          <w:szCs w:val="20"/>
        </w:rPr>
        <w:t xml:space="preserve"> </w:t>
      </w:r>
      <w:r w:rsidR="00C650A9">
        <w:rPr>
          <w:rFonts w:ascii="Verdana" w:hAnsi="Verdana" w:cs="Arial"/>
          <w:sz w:val="20"/>
          <w:szCs w:val="20"/>
        </w:rPr>
        <w:br/>
      </w:r>
      <w:r w:rsidRPr="008638D5">
        <w:rPr>
          <w:rFonts w:ascii="Verdana" w:hAnsi="Verdana" w:cs="Arial"/>
          <w:sz w:val="20"/>
          <w:szCs w:val="20"/>
        </w:rPr>
        <w:t xml:space="preserve">w Raportach ESG Risk Rating. </w:t>
      </w:r>
      <w:r w:rsidR="00C4312A" w:rsidRPr="008638D5">
        <w:rPr>
          <w:rFonts w:ascii="Verdana" w:hAnsi="Verdana" w:cs="Arial"/>
          <w:sz w:val="20"/>
          <w:szCs w:val="20"/>
        </w:rPr>
        <w:t xml:space="preserve">Spółki w Rankingu są kwalifikowane do jednego </w:t>
      </w:r>
      <w:r w:rsidR="00C650A9">
        <w:rPr>
          <w:rFonts w:ascii="Verdana" w:hAnsi="Verdana" w:cs="Arial"/>
          <w:sz w:val="20"/>
          <w:szCs w:val="20"/>
        </w:rPr>
        <w:br/>
      </w:r>
      <w:r w:rsidR="00C4312A" w:rsidRPr="008638D5">
        <w:rPr>
          <w:rFonts w:ascii="Verdana" w:hAnsi="Verdana" w:cs="Arial"/>
          <w:sz w:val="20"/>
          <w:szCs w:val="20"/>
        </w:rPr>
        <w:t>z kwintyli w zależności od liczby uzyskanych punktów</w:t>
      </w:r>
      <w:r w:rsidR="004B7AEB" w:rsidRPr="008638D5">
        <w:rPr>
          <w:rFonts w:ascii="Verdana" w:hAnsi="Verdana" w:cs="Arial"/>
          <w:sz w:val="20"/>
          <w:szCs w:val="20"/>
        </w:rPr>
        <w:t>.</w:t>
      </w:r>
    </w:p>
    <w:p w14:paraId="4DE54AAE" w14:textId="3D855E80" w:rsidR="007F1FC6" w:rsidRPr="008638D5" w:rsidRDefault="007F1FC6" w:rsidP="002E4E97">
      <w:pPr>
        <w:pStyle w:val="Tekstpodstawowy2"/>
        <w:numPr>
          <w:ilvl w:val="1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20" w:line="360" w:lineRule="auto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Ranking Dobrych Praktyk powstaje </w:t>
      </w:r>
      <w:r w:rsidR="002F6E58">
        <w:rPr>
          <w:rFonts w:ascii="Verdana" w:hAnsi="Verdana" w:cs="Arial"/>
          <w:sz w:val="20"/>
          <w:szCs w:val="20"/>
        </w:rPr>
        <w:t>w oparciu o</w:t>
      </w:r>
      <w:r w:rsidRPr="008638D5">
        <w:rPr>
          <w:rFonts w:ascii="Verdana" w:hAnsi="Verdana" w:cs="Arial"/>
          <w:sz w:val="20"/>
          <w:szCs w:val="20"/>
        </w:rPr>
        <w:t xml:space="preserve"> analiz</w:t>
      </w:r>
      <w:r w:rsidR="002F6E58">
        <w:rPr>
          <w:rFonts w:ascii="Verdana" w:hAnsi="Verdana" w:cs="Arial"/>
          <w:sz w:val="20"/>
          <w:szCs w:val="20"/>
        </w:rPr>
        <w:t>ę</w:t>
      </w:r>
      <w:r w:rsidRPr="008638D5">
        <w:rPr>
          <w:rFonts w:ascii="Verdana" w:hAnsi="Verdana" w:cs="Arial"/>
          <w:sz w:val="20"/>
          <w:szCs w:val="20"/>
        </w:rPr>
        <w:t xml:space="preserve"> </w:t>
      </w:r>
      <w:r w:rsidR="00BF7DE5">
        <w:rPr>
          <w:rFonts w:ascii="Verdana" w:hAnsi="Verdana" w:cs="Arial"/>
          <w:sz w:val="20"/>
          <w:szCs w:val="20"/>
        </w:rPr>
        <w:t>raportów sporządzanych na podstawie § 29 ust. 3 Regulaminu Giełdy oraz oświadczeń o stosowaniu zasad ładu korporacyjnego określonych w</w:t>
      </w:r>
      <w:r w:rsidR="00BF7DE5" w:rsidRPr="008638D5">
        <w:rPr>
          <w:rFonts w:ascii="Verdana" w:hAnsi="Verdana" w:cs="Arial"/>
          <w:sz w:val="20"/>
          <w:szCs w:val="20"/>
        </w:rPr>
        <w:t xml:space="preserve"> </w:t>
      </w:r>
      <w:r w:rsidR="00BF7DE5">
        <w:rPr>
          <w:rFonts w:ascii="Verdana" w:hAnsi="Verdana" w:cs="Arial"/>
          <w:sz w:val="20"/>
          <w:szCs w:val="20"/>
        </w:rPr>
        <w:t xml:space="preserve">dokumencie </w:t>
      </w:r>
      <w:r w:rsidR="00BF7DE5" w:rsidRPr="008638D5">
        <w:rPr>
          <w:rFonts w:ascii="Verdana" w:hAnsi="Verdana" w:cs="Arial"/>
          <w:sz w:val="20"/>
          <w:szCs w:val="20"/>
        </w:rPr>
        <w:t xml:space="preserve">„Dobre Praktyki Spółek </w:t>
      </w:r>
      <w:r w:rsidR="00BF7DE5" w:rsidRPr="008638D5">
        <w:rPr>
          <w:rFonts w:ascii="Verdana" w:hAnsi="Verdana" w:cs="Arial"/>
          <w:sz w:val="20"/>
          <w:szCs w:val="20"/>
        </w:rPr>
        <w:lastRenderedPageBreak/>
        <w:t>Notowanych na GPW 2016”</w:t>
      </w:r>
      <w:r w:rsidR="00BF7DE5">
        <w:rPr>
          <w:rFonts w:ascii="Verdana" w:hAnsi="Verdana" w:cs="Arial"/>
          <w:sz w:val="20"/>
          <w:szCs w:val="20"/>
        </w:rPr>
        <w:t xml:space="preserve">, zwanym dalej „Dobrymi Praktykami GPW”, zamieszczanych w </w:t>
      </w:r>
      <w:r w:rsidR="00BF7DE5" w:rsidRPr="008638D5">
        <w:rPr>
          <w:rFonts w:ascii="Verdana" w:hAnsi="Verdana" w:cs="Arial"/>
          <w:sz w:val="20"/>
          <w:szCs w:val="20"/>
        </w:rPr>
        <w:t>raport</w:t>
      </w:r>
      <w:r w:rsidR="00BF7DE5">
        <w:rPr>
          <w:rFonts w:ascii="Verdana" w:hAnsi="Verdana" w:cs="Arial"/>
          <w:sz w:val="20"/>
          <w:szCs w:val="20"/>
        </w:rPr>
        <w:t>ach</w:t>
      </w:r>
      <w:r w:rsidR="00BF7DE5" w:rsidRPr="008638D5">
        <w:rPr>
          <w:rFonts w:ascii="Verdana" w:hAnsi="Verdana" w:cs="Arial"/>
          <w:sz w:val="20"/>
          <w:szCs w:val="20"/>
        </w:rPr>
        <w:t xml:space="preserve"> </w:t>
      </w:r>
      <w:r w:rsidR="00BF7DE5">
        <w:rPr>
          <w:rFonts w:ascii="Verdana" w:hAnsi="Verdana" w:cs="Arial"/>
          <w:sz w:val="20"/>
          <w:szCs w:val="20"/>
        </w:rPr>
        <w:t xml:space="preserve">rocznych spółek. </w:t>
      </w:r>
    </w:p>
    <w:p w14:paraId="67548885" w14:textId="3737523C" w:rsidR="00533F68" w:rsidRPr="007F1FC6" w:rsidRDefault="00533F68" w:rsidP="002E4E97">
      <w:pPr>
        <w:pStyle w:val="Tekstpodstawowy2"/>
        <w:numPr>
          <w:ilvl w:val="1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20" w:line="360" w:lineRule="auto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Ra</w:t>
      </w:r>
      <w:r w:rsidR="00C4312A" w:rsidRPr="008638D5">
        <w:rPr>
          <w:rFonts w:ascii="Verdana" w:hAnsi="Verdana" w:cs="Arial"/>
          <w:sz w:val="20"/>
          <w:szCs w:val="20"/>
        </w:rPr>
        <w:t xml:space="preserve">nking Dobrych Praktyk jest sporządzany raz </w:t>
      </w:r>
      <w:r w:rsidR="00C33C9E">
        <w:rPr>
          <w:rFonts w:ascii="Verdana" w:hAnsi="Verdana" w:cs="Arial"/>
          <w:sz w:val="20"/>
          <w:szCs w:val="20"/>
        </w:rPr>
        <w:t>w</w:t>
      </w:r>
      <w:r w:rsidR="00C33C9E" w:rsidRPr="008638D5">
        <w:rPr>
          <w:rFonts w:ascii="Verdana" w:hAnsi="Verdana" w:cs="Arial"/>
          <w:sz w:val="20"/>
          <w:szCs w:val="20"/>
        </w:rPr>
        <w:t xml:space="preserve"> </w:t>
      </w:r>
      <w:r w:rsidR="00C4312A" w:rsidRPr="008638D5">
        <w:rPr>
          <w:rFonts w:ascii="Verdana" w:hAnsi="Verdana" w:cs="Arial"/>
          <w:sz w:val="20"/>
          <w:szCs w:val="20"/>
        </w:rPr>
        <w:t>rok</w:t>
      </w:r>
      <w:r w:rsidR="00C33C9E">
        <w:rPr>
          <w:rFonts w:ascii="Verdana" w:hAnsi="Verdana" w:cs="Arial"/>
          <w:sz w:val="20"/>
          <w:szCs w:val="20"/>
        </w:rPr>
        <w:t>u</w:t>
      </w:r>
      <w:r w:rsidR="00C4312A" w:rsidRPr="008638D5">
        <w:rPr>
          <w:rFonts w:ascii="Verdana" w:hAnsi="Verdana" w:cs="Arial"/>
          <w:sz w:val="20"/>
          <w:szCs w:val="20"/>
        </w:rPr>
        <w:t xml:space="preserve"> po ostatniej sesji lipca</w:t>
      </w:r>
      <w:r w:rsidR="007F1FC6">
        <w:rPr>
          <w:rFonts w:ascii="Verdana" w:hAnsi="Verdana" w:cs="Arial"/>
          <w:sz w:val="20"/>
          <w:szCs w:val="20"/>
        </w:rPr>
        <w:t xml:space="preserve">, </w:t>
      </w:r>
      <w:r w:rsidR="005E1474">
        <w:rPr>
          <w:rFonts w:ascii="Verdana" w:hAnsi="Verdana" w:cs="Arial"/>
          <w:sz w:val="20"/>
          <w:szCs w:val="20"/>
        </w:rPr>
        <w:br/>
      </w:r>
      <w:r w:rsidR="007F1FC6">
        <w:rPr>
          <w:rFonts w:ascii="Verdana" w:hAnsi="Verdana" w:cs="Arial"/>
          <w:sz w:val="20"/>
          <w:szCs w:val="20"/>
        </w:rPr>
        <w:t>a spółki</w:t>
      </w:r>
      <w:r w:rsidR="00C4312A" w:rsidRPr="007F1FC6">
        <w:rPr>
          <w:rFonts w:ascii="Verdana" w:hAnsi="Verdana" w:cs="Arial"/>
          <w:sz w:val="20"/>
          <w:szCs w:val="20"/>
        </w:rPr>
        <w:t xml:space="preserve"> kwalifikowane są do jednej z </w:t>
      </w:r>
      <w:r w:rsidR="00F85F94">
        <w:rPr>
          <w:rFonts w:ascii="Verdana" w:hAnsi="Verdana" w:cs="Arial"/>
          <w:sz w:val="20"/>
          <w:szCs w:val="20"/>
        </w:rPr>
        <w:t xml:space="preserve">czterech </w:t>
      </w:r>
      <w:r w:rsidR="00C4312A" w:rsidRPr="007F1FC6">
        <w:rPr>
          <w:rFonts w:ascii="Verdana" w:hAnsi="Verdana" w:cs="Arial"/>
          <w:sz w:val="20"/>
          <w:szCs w:val="20"/>
        </w:rPr>
        <w:t>kategorii</w:t>
      </w:r>
      <w:r w:rsidR="00C650A9">
        <w:rPr>
          <w:rFonts w:ascii="Verdana" w:hAnsi="Verdana" w:cs="Arial"/>
          <w:sz w:val="20"/>
          <w:szCs w:val="20"/>
        </w:rPr>
        <w:t>, zgodnie z poniższymi zasadami</w:t>
      </w:r>
      <w:r w:rsidR="004B7AEB" w:rsidRPr="007F1FC6">
        <w:rPr>
          <w:rFonts w:ascii="Verdana" w:hAnsi="Verdana" w:cs="Arial"/>
          <w:sz w:val="20"/>
          <w:szCs w:val="20"/>
        </w:rPr>
        <w:t>:</w:t>
      </w:r>
    </w:p>
    <w:p w14:paraId="31064895" w14:textId="605A9592" w:rsidR="001E24DE" w:rsidRPr="00355660" w:rsidRDefault="004B7AEB" w:rsidP="00355660">
      <w:pPr>
        <w:pStyle w:val="Tekstpodstawowy2"/>
        <w:numPr>
          <w:ilvl w:val="3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20" w:line="360" w:lineRule="auto"/>
        <w:ind w:left="993" w:hanging="567"/>
        <w:rPr>
          <w:rFonts w:ascii="Verdana" w:hAnsi="Verdana" w:cs="Arial"/>
          <w:sz w:val="20"/>
          <w:szCs w:val="20"/>
        </w:rPr>
      </w:pPr>
      <w:r w:rsidRPr="00355660">
        <w:rPr>
          <w:rFonts w:ascii="Verdana" w:hAnsi="Verdana" w:cs="Arial"/>
          <w:sz w:val="20"/>
          <w:szCs w:val="20"/>
        </w:rPr>
        <w:t xml:space="preserve">kategoria pierwsza: </w:t>
      </w:r>
      <w:r w:rsidR="00FC0B98">
        <w:rPr>
          <w:rFonts w:ascii="Verdana" w:hAnsi="Verdana" w:cs="Arial"/>
          <w:sz w:val="20"/>
          <w:szCs w:val="20"/>
        </w:rPr>
        <w:t>niestosowanie</w:t>
      </w:r>
      <w:r w:rsidR="00FC0B98" w:rsidRPr="00355660">
        <w:rPr>
          <w:rFonts w:ascii="Verdana" w:hAnsi="Verdana" w:cs="Arial"/>
          <w:sz w:val="20"/>
          <w:szCs w:val="20"/>
        </w:rPr>
        <w:t xml:space="preserve"> </w:t>
      </w:r>
      <w:r w:rsidR="00C650A9" w:rsidRPr="00355660">
        <w:rPr>
          <w:rFonts w:ascii="Verdana" w:hAnsi="Verdana" w:cs="Arial"/>
          <w:sz w:val="20"/>
          <w:szCs w:val="20"/>
        </w:rPr>
        <w:t xml:space="preserve">przez spółkę </w:t>
      </w:r>
      <w:r w:rsidR="004F6F38" w:rsidRPr="00355660">
        <w:rPr>
          <w:rFonts w:ascii="Verdana" w:hAnsi="Verdana" w:cs="Arial"/>
          <w:sz w:val="20"/>
          <w:szCs w:val="20"/>
        </w:rPr>
        <w:t xml:space="preserve">maksimum 3 </w:t>
      </w:r>
      <w:r w:rsidR="003002C3" w:rsidRPr="00355660">
        <w:rPr>
          <w:rFonts w:ascii="Verdana" w:hAnsi="Verdana" w:cs="Arial"/>
          <w:sz w:val="20"/>
          <w:szCs w:val="20"/>
        </w:rPr>
        <w:t>zasad</w:t>
      </w:r>
      <w:r w:rsidR="005E1474" w:rsidRPr="00355660">
        <w:rPr>
          <w:rFonts w:ascii="Verdana" w:hAnsi="Verdana" w:cs="Arial"/>
          <w:sz w:val="20"/>
          <w:szCs w:val="20"/>
        </w:rPr>
        <w:t xml:space="preserve"> </w:t>
      </w:r>
      <w:r w:rsidR="00D55479" w:rsidRPr="004B629C">
        <w:rPr>
          <w:rFonts w:ascii="Verdana" w:hAnsi="Verdana" w:cs="Arial"/>
          <w:sz w:val="20"/>
          <w:szCs w:val="20"/>
        </w:rPr>
        <w:t>szczegółowych</w:t>
      </w:r>
      <w:r w:rsidR="003002C3" w:rsidRPr="004B629C">
        <w:rPr>
          <w:rFonts w:ascii="Verdana" w:hAnsi="Verdana" w:cs="Arial"/>
          <w:sz w:val="20"/>
          <w:szCs w:val="20"/>
        </w:rPr>
        <w:t xml:space="preserve"> </w:t>
      </w:r>
      <w:r w:rsidRPr="004B629C">
        <w:rPr>
          <w:rFonts w:ascii="Verdana" w:hAnsi="Verdana" w:cs="Arial"/>
          <w:sz w:val="20"/>
          <w:szCs w:val="20"/>
        </w:rPr>
        <w:t>Dobrych Praktyk</w:t>
      </w:r>
      <w:r w:rsidR="007F1FC6" w:rsidRPr="004B629C">
        <w:rPr>
          <w:rFonts w:ascii="Verdana" w:hAnsi="Verdana" w:cs="Arial"/>
          <w:sz w:val="20"/>
          <w:szCs w:val="20"/>
        </w:rPr>
        <w:t xml:space="preserve"> GPW</w:t>
      </w:r>
      <w:r w:rsidRPr="004B629C">
        <w:rPr>
          <w:rFonts w:ascii="Verdana" w:hAnsi="Verdana" w:cs="Arial"/>
          <w:sz w:val="20"/>
          <w:szCs w:val="20"/>
        </w:rPr>
        <w:t>,</w:t>
      </w:r>
      <w:r w:rsidR="003002C3" w:rsidRPr="004B629C">
        <w:rPr>
          <w:rFonts w:ascii="Verdana" w:hAnsi="Verdana" w:cs="Arial"/>
          <w:sz w:val="20"/>
          <w:szCs w:val="20"/>
        </w:rPr>
        <w:t xml:space="preserve"> przy czym</w:t>
      </w:r>
      <w:r w:rsidR="00355660" w:rsidRPr="00355660">
        <w:rPr>
          <w:rFonts w:ascii="Verdana" w:hAnsi="Verdana" w:cs="Arial"/>
          <w:sz w:val="20"/>
          <w:szCs w:val="20"/>
        </w:rPr>
        <w:t xml:space="preserve"> </w:t>
      </w:r>
      <w:r w:rsidR="003002C3" w:rsidRPr="00355660">
        <w:rPr>
          <w:rFonts w:ascii="Verdana" w:hAnsi="Verdana" w:cs="Arial"/>
          <w:sz w:val="20"/>
          <w:szCs w:val="20"/>
        </w:rPr>
        <w:t>wśród niestosowanych zasad nie może znaleźć się żadna z zasad wskazanych w lit.</w:t>
      </w:r>
      <w:r w:rsidR="00355660">
        <w:rPr>
          <w:rFonts w:ascii="Verdana" w:hAnsi="Verdana" w:cs="Arial"/>
          <w:sz w:val="20"/>
          <w:szCs w:val="20"/>
        </w:rPr>
        <w:t xml:space="preserve"> c</w:t>
      </w:r>
      <w:r w:rsidR="002E4E97" w:rsidRPr="00355660">
        <w:rPr>
          <w:rFonts w:ascii="Verdana" w:hAnsi="Verdana" w:cs="Arial"/>
          <w:sz w:val="20"/>
          <w:szCs w:val="20"/>
        </w:rPr>
        <w:t xml:space="preserve">; </w:t>
      </w:r>
    </w:p>
    <w:p w14:paraId="2F6CDAF0" w14:textId="112AFBF9" w:rsidR="002E4E97" w:rsidRPr="00D55479" w:rsidRDefault="004B7AEB" w:rsidP="00D55479">
      <w:pPr>
        <w:pStyle w:val="Tekstpodstawowy2"/>
        <w:numPr>
          <w:ilvl w:val="3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20" w:line="360" w:lineRule="auto"/>
        <w:ind w:left="993" w:hanging="567"/>
        <w:rPr>
          <w:rFonts w:ascii="Verdana" w:hAnsi="Verdana" w:cs="Arial"/>
          <w:sz w:val="20"/>
          <w:szCs w:val="20"/>
        </w:rPr>
      </w:pPr>
      <w:r w:rsidRPr="002E4E97">
        <w:rPr>
          <w:rFonts w:ascii="Verdana" w:hAnsi="Verdana" w:cs="Arial"/>
          <w:sz w:val="20"/>
          <w:szCs w:val="20"/>
        </w:rPr>
        <w:t xml:space="preserve">kategoria druga: </w:t>
      </w:r>
      <w:r w:rsidR="00FC0B98">
        <w:rPr>
          <w:rFonts w:ascii="Verdana" w:hAnsi="Verdana" w:cs="Arial"/>
          <w:sz w:val="20"/>
          <w:szCs w:val="20"/>
        </w:rPr>
        <w:t>niestosowanie</w:t>
      </w:r>
      <w:r w:rsidR="00FC0B98" w:rsidRPr="002E4E97">
        <w:rPr>
          <w:rFonts w:ascii="Verdana" w:hAnsi="Verdana" w:cs="Arial"/>
          <w:sz w:val="20"/>
          <w:szCs w:val="20"/>
        </w:rPr>
        <w:t xml:space="preserve"> </w:t>
      </w:r>
      <w:r w:rsidR="00C650A9">
        <w:rPr>
          <w:rFonts w:ascii="Verdana" w:hAnsi="Verdana" w:cs="Arial"/>
          <w:sz w:val="20"/>
          <w:szCs w:val="20"/>
        </w:rPr>
        <w:t xml:space="preserve">przez spółkę </w:t>
      </w:r>
      <w:r w:rsidRPr="002E4E97">
        <w:rPr>
          <w:rFonts w:ascii="Verdana" w:hAnsi="Verdana" w:cs="Arial"/>
          <w:sz w:val="20"/>
          <w:szCs w:val="20"/>
        </w:rPr>
        <w:t xml:space="preserve">od </w:t>
      </w:r>
      <w:r w:rsidR="00B415F8" w:rsidRPr="002E4E97">
        <w:rPr>
          <w:rFonts w:ascii="Verdana" w:hAnsi="Verdana" w:cs="Arial"/>
          <w:sz w:val="20"/>
          <w:szCs w:val="20"/>
        </w:rPr>
        <w:t xml:space="preserve">4 </w:t>
      </w:r>
      <w:r w:rsidRPr="002E4E97">
        <w:rPr>
          <w:rFonts w:ascii="Verdana" w:hAnsi="Verdana" w:cs="Arial"/>
          <w:sz w:val="20"/>
          <w:szCs w:val="20"/>
        </w:rPr>
        <w:t xml:space="preserve">do </w:t>
      </w:r>
      <w:r w:rsidR="00B415F8" w:rsidRPr="002E4E97">
        <w:rPr>
          <w:rFonts w:ascii="Verdana" w:hAnsi="Verdana" w:cs="Arial"/>
          <w:sz w:val="20"/>
          <w:szCs w:val="20"/>
        </w:rPr>
        <w:t xml:space="preserve">6 </w:t>
      </w:r>
      <w:r w:rsidR="0050390A" w:rsidRPr="002E4E97">
        <w:rPr>
          <w:rFonts w:ascii="Verdana" w:hAnsi="Verdana" w:cs="Arial"/>
          <w:sz w:val="20"/>
          <w:szCs w:val="20"/>
        </w:rPr>
        <w:t xml:space="preserve">zasad </w:t>
      </w:r>
      <w:r w:rsidR="00D55479">
        <w:rPr>
          <w:rFonts w:ascii="Verdana" w:hAnsi="Verdana" w:cs="Arial"/>
          <w:sz w:val="20"/>
          <w:szCs w:val="20"/>
        </w:rPr>
        <w:t xml:space="preserve">szczegółowych </w:t>
      </w:r>
      <w:r w:rsidRPr="002E4E97">
        <w:rPr>
          <w:rFonts w:ascii="Verdana" w:hAnsi="Verdana" w:cs="Arial"/>
          <w:sz w:val="20"/>
          <w:szCs w:val="20"/>
        </w:rPr>
        <w:t>Dobrych Praktyk</w:t>
      </w:r>
      <w:r w:rsidR="007F1FC6" w:rsidRPr="002E4E97">
        <w:rPr>
          <w:rFonts w:ascii="Verdana" w:hAnsi="Verdana" w:cs="Arial"/>
          <w:sz w:val="20"/>
          <w:szCs w:val="20"/>
        </w:rPr>
        <w:t xml:space="preserve"> GPW</w:t>
      </w:r>
      <w:r w:rsidRPr="002E4E97">
        <w:rPr>
          <w:rFonts w:ascii="Verdana" w:hAnsi="Verdana" w:cs="Arial"/>
          <w:sz w:val="20"/>
          <w:szCs w:val="20"/>
        </w:rPr>
        <w:t>,</w:t>
      </w:r>
      <w:r w:rsidR="003002C3" w:rsidRPr="002E4E97">
        <w:rPr>
          <w:rFonts w:ascii="Verdana" w:hAnsi="Verdana" w:cs="Arial"/>
          <w:sz w:val="20"/>
          <w:szCs w:val="20"/>
        </w:rPr>
        <w:t xml:space="preserve"> przy czym wśród niestosowanych zasad nie może znaleźć się żadna z zasad wskazanych w lit. c</w:t>
      </w:r>
      <w:r w:rsidR="002E4E97" w:rsidRPr="00D55479">
        <w:rPr>
          <w:rFonts w:ascii="Verdana" w:hAnsi="Verdana"/>
          <w:sz w:val="20"/>
          <w:szCs w:val="20"/>
        </w:rPr>
        <w:t xml:space="preserve">; </w:t>
      </w:r>
    </w:p>
    <w:p w14:paraId="3CE4637B" w14:textId="6BD635D5" w:rsidR="001B3369" w:rsidRDefault="004B7AEB" w:rsidP="001B3369">
      <w:pPr>
        <w:pStyle w:val="Tekstpodstawowy2"/>
        <w:numPr>
          <w:ilvl w:val="3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20" w:line="360" w:lineRule="auto"/>
        <w:ind w:left="993" w:hanging="567"/>
        <w:rPr>
          <w:rFonts w:ascii="Verdana" w:hAnsi="Verdana" w:cs="Arial"/>
          <w:sz w:val="20"/>
          <w:szCs w:val="20"/>
        </w:rPr>
      </w:pPr>
      <w:r w:rsidRPr="002E4E97">
        <w:rPr>
          <w:rFonts w:ascii="Verdana" w:hAnsi="Verdana" w:cs="Arial"/>
          <w:sz w:val="20"/>
          <w:szCs w:val="20"/>
        </w:rPr>
        <w:t xml:space="preserve">kategoria trzecia: </w:t>
      </w:r>
      <w:r w:rsidR="00FC0B98">
        <w:rPr>
          <w:rFonts w:ascii="Verdana" w:hAnsi="Verdana" w:cs="Arial"/>
          <w:sz w:val="20"/>
          <w:szCs w:val="20"/>
        </w:rPr>
        <w:t>niestosowanie</w:t>
      </w:r>
      <w:r w:rsidR="00FC0B98" w:rsidRPr="002E4E97">
        <w:rPr>
          <w:rFonts w:ascii="Verdana" w:hAnsi="Verdana" w:cs="Arial"/>
          <w:sz w:val="20"/>
          <w:szCs w:val="20"/>
        </w:rPr>
        <w:t xml:space="preserve"> </w:t>
      </w:r>
      <w:r w:rsidR="00C650A9">
        <w:rPr>
          <w:rFonts w:ascii="Verdana" w:hAnsi="Verdana" w:cs="Arial"/>
          <w:sz w:val="20"/>
          <w:szCs w:val="20"/>
        </w:rPr>
        <w:t xml:space="preserve">przez spółkę </w:t>
      </w:r>
      <w:r w:rsidRPr="002E4E97">
        <w:rPr>
          <w:rFonts w:ascii="Verdana" w:hAnsi="Verdana" w:cs="Arial"/>
          <w:sz w:val="20"/>
          <w:szCs w:val="20"/>
        </w:rPr>
        <w:t xml:space="preserve">więcej niż </w:t>
      </w:r>
      <w:r w:rsidR="00B415F8" w:rsidRPr="002E4E97">
        <w:rPr>
          <w:rFonts w:ascii="Verdana" w:hAnsi="Verdana" w:cs="Arial"/>
          <w:sz w:val="20"/>
          <w:szCs w:val="20"/>
        </w:rPr>
        <w:t xml:space="preserve">6 </w:t>
      </w:r>
      <w:r w:rsidR="0050390A" w:rsidRPr="002E4E97">
        <w:rPr>
          <w:rFonts w:ascii="Verdana" w:hAnsi="Verdana" w:cs="Arial"/>
          <w:sz w:val="20"/>
          <w:szCs w:val="20"/>
        </w:rPr>
        <w:t xml:space="preserve">zasad </w:t>
      </w:r>
      <w:r w:rsidR="00D55479">
        <w:rPr>
          <w:rFonts w:ascii="Verdana" w:hAnsi="Verdana" w:cs="Arial"/>
          <w:sz w:val="20"/>
          <w:szCs w:val="20"/>
        </w:rPr>
        <w:t xml:space="preserve">szczegółowych </w:t>
      </w:r>
      <w:r w:rsidRPr="002E4E97">
        <w:rPr>
          <w:rFonts w:ascii="Verdana" w:hAnsi="Verdana" w:cs="Arial"/>
          <w:sz w:val="20"/>
          <w:szCs w:val="20"/>
        </w:rPr>
        <w:t>Dobrych Praktyk</w:t>
      </w:r>
      <w:r w:rsidR="007F1FC6" w:rsidRPr="002E4E97">
        <w:rPr>
          <w:rFonts w:ascii="Verdana" w:hAnsi="Verdana" w:cs="Arial"/>
          <w:sz w:val="20"/>
          <w:szCs w:val="20"/>
        </w:rPr>
        <w:t xml:space="preserve"> GPW</w:t>
      </w:r>
      <w:r w:rsidR="003002C3" w:rsidRPr="002E4E97">
        <w:rPr>
          <w:rFonts w:ascii="Verdana" w:hAnsi="Verdana" w:cs="Arial"/>
          <w:sz w:val="20"/>
          <w:szCs w:val="20"/>
        </w:rPr>
        <w:t xml:space="preserve"> lub </w:t>
      </w:r>
      <w:r w:rsidR="00FC0B98">
        <w:rPr>
          <w:rFonts w:ascii="Verdana" w:hAnsi="Verdana" w:cs="Arial"/>
          <w:sz w:val="20"/>
          <w:szCs w:val="20"/>
        </w:rPr>
        <w:t>niestosowanie</w:t>
      </w:r>
      <w:r w:rsidR="00FC0B98" w:rsidRPr="002E4E97">
        <w:rPr>
          <w:rFonts w:ascii="Verdana" w:hAnsi="Verdana" w:cs="Arial"/>
          <w:sz w:val="20"/>
          <w:szCs w:val="20"/>
        </w:rPr>
        <w:t xml:space="preserve"> </w:t>
      </w:r>
      <w:r w:rsidR="003002C3" w:rsidRPr="002E4E97">
        <w:rPr>
          <w:rFonts w:ascii="Verdana" w:hAnsi="Verdana" w:cs="Arial"/>
          <w:sz w:val="20"/>
          <w:szCs w:val="20"/>
        </w:rPr>
        <w:t xml:space="preserve">jednej z zasad </w:t>
      </w:r>
      <w:r w:rsidR="00D55479">
        <w:rPr>
          <w:rFonts w:ascii="Verdana" w:hAnsi="Verdana" w:cs="Arial"/>
          <w:sz w:val="20"/>
          <w:szCs w:val="20"/>
        </w:rPr>
        <w:t xml:space="preserve">szczegółowych </w:t>
      </w:r>
      <w:r w:rsidR="003002C3" w:rsidRPr="002E4E97">
        <w:rPr>
          <w:rFonts w:ascii="Verdana" w:hAnsi="Verdana" w:cs="Arial"/>
          <w:sz w:val="20"/>
          <w:szCs w:val="20"/>
        </w:rPr>
        <w:t xml:space="preserve">określonych w pkt </w:t>
      </w:r>
      <w:r w:rsidR="003002C3" w:rsidRPr="002E4E97">
        <w:rPr>
          <w:rFonts w:ascii="Verdana" w:hAnsi="Verdana"/>
          <w:sz w:val="20"/>
          <w:szCs w:val="20"/>
        </w:rPr>
        <w:t>I.Z.1, II.Z.3, II.Z.</w:t>
      </w:r>
      <w:r w:rsidR="005E1474">
        <w:rPr>
          <w:rFonts w:ascii="Verdana" w:hAnsi="Verdana"/>
          <w:sz w:val="20"/>
          <w:szCs w:val="20"/>
        </w:rPr>
        <w:t>10</w:t>
      </w:r>
      <w:r w:rsidR="003002C3" w:rsidRPr="002E4E97">
        <w:rPr>
          <w:rFonts w:ascii="Verdana" w:hAnsi="Verdana"/>
          <w:sz w:val="20"/>
          <w:szCs w:val="20"/>
        </w:rPr>
        <w:t xml:space="preserve">, </w:t>
      </w:r>
      <w:r w:rsidR="00BF7DE5" w:rsidRPr="002E4E97">
        <w:rPr>
          <w:rFonts w:ascii="Verdana" w:hAnsi="Verdana"/>
          <w:sz w:val="20"/>
          <w:szCs w:val="20"/>
        </w:rPr>
        <w:t>II</w:t>
      </w:r>
      <w:r w:rsidR="00BF7DE5">
        <w:rPr>
          <w:rFonts w:ascii="Verdana" w:hAnsi="Verdana"/>
          <w:sz w:val="20"/>
          <w:szCs w:val="20"/>
        </w:rPr>
        <w:t>I</w:t>
      </w:r>
      <w:r w:rsidR="00BF7DE5" w:rsidRPr="002E4E97">
        <w:rPr>
          <w:rFonts w:ascii="Verdana" w:hAnsi="Verdana"/>
          <w:sz w:val="20"/>
          <w:szCs w:val="20"/>
        </w:rPr>
        <w:t>.Z.</w:t>
      </w:r>
      <w:r w:rsidR="00BF7DE5">
        <w:rPr>
          <w:rFonts w:ascii="Verdana" w:hAnsi="Verdana"/>
          <w:sz w:val="20"/>
          <w:szCs w:val="20"/>
        </w:rPr>
        <w:t>5</w:t>
      </w:r>
      <w:r w:rsidR="00BF7DE5" w:rsidRPr="002E4E97">
        <w:rPr>
          <w:rFonts w:ascii="Verdana" w:hAnsi="Verdana"/>
          <w:sz w:val="20"/>
          <w:szCs w:val="20"/>
        </w:rPr>
        <w:t xml:space="preserve">, </w:t>
      </w:r>
      <w:r w:rsidR="003002C3" w:rsidRPr="002E4E97">
        <w:rPr>
          <w:rFonts w:ascii="Verdana" w:hAnsi="Verdana"/>
          <w:sz w:val="20"/>
          <w:szCs w:val="20"/>
        </w:rPr>
        <w:t>IV.Z.9, V.Z.1, VI.Z.1</w:t>
      </w:r>
      <w:r w:rsidR="002E4E97">
        <w:rPr>
          <w:rFonts w:ascii="Verdana" w:hAnsi="Verdana"/>
          <w:sz w:val="20"/>
          <w:szCs w:val="20"/>
        </w:rPr>
        <w:t xml:space="preserve"> </w:t>
      </w:r>
      <w:r w:rsidR="002E4E97" w:rsidRPr="002E4E97">
        <w:rPr>
          <w:rFonts w:ascii="Verdana" w:hAnsi="Verdana" w:cs="Arial"/>
          <w:sz w:val="20"/>
          <w:szCs w:val="20"/>
        </w:rPr>
        <w:t>Dobrych Praktyk GPW</w:t>
      </w:r>
      <w:r w:rsidR="00D55479">
        <w:rPr>
          <w:rFonts w:ascii="Verdana" w:hAnsi="Verdana" w:cs="Arial"/>
          <w:sz w:val="20"/>
          <w:szCs w:val="20"/>
        </w:rPr>
        <w:t xml:space="preserve">; </w:t>
      </w:r>
      <w:r w:rsidR="00D55479" w:rsidRPr="002E4E97">
        <w:rPr>
          <w:rFonts w:ascii="Verdana" w:hAnsi="Verdana"/>
          <w:sz w:val="20"/>
          <w:szCs w:val="20"/>
        </w:rPr>
        <w:t xml:space="preserve">za niestosowanie zasady I.Z.1 uznaje się sytuację, w której spółka nie stosuje więcej niż 2 zasad </w:t>
      </w:r>
      <w:r w:rsidR="00D55479">
        <w:rPr>
          <w:rFonts w:ascii="Verdana" w:hAnsi="Verdana"/>
          <w:sz w:val="20"/>
          <w:szCs w:val="20"/>
        </w:rPr>
        <w:t>określonych w pkt</w:t>
      </w:r>
      <w:r w:rsidR="00D55479" w:rsidRPr="002E4E97">
        <w:rPr>
          <w:rFonts w:ascii="Verdana" w:hAnsi="Verdana"/>
          <w:sz w:val="20"/>
          <w:szCs w:val="20"/>
        </w:rPr>
        <w:t xml:space="preserve"> I.Z.1</w:t>
      </w:r>
      <w:r w:rsidR="00D55479" w:rsidRPr="00D55479">
        <w:rPr>
          <w:rFonts w:ascii="Verdana" w:hAnsi="Verdana" w:cs="Arial"/>
          <w:sz w:val="20"/>
          <w:szCs w:val="20"/>
        </w:rPr>
        <w:t xml:space="preserve"> </w:t>
      </w:r>
      <w:r w:rsidR="00D55479" w:rsidRPr="002E4E97">
        <w:rPr>
          <w:rFonts w:ascii="Verdana" w:hAnsi="Verdana" w:cs="Arial"/>
          <w:sz w:val="20"/>
          <w:szCs w:val="20"/>
        </w:rPr>
        <w:t>Dobrych Praktyk GPW</w:t>
      </w:r>
      <w:r w:rsidR="001B3369">
        <w:rPr>
          <w:rFonts w:ascii="Verdana" w:hAnsi="Verdana"/>
          <w:sz w:val="20"/>
          <w:szCs w:val="20"/>
        </w:rPr>
        <w:t>;</w:t>
      </w:r>
    </w:p>
    <w:p w14:paraId="57D6EAF6" w14:textId="7DFC5B12" w:rsidR="009263BA" w:rsidRPr="00BA629C" w:rsidRDefault="001B3369" w:rsidP="009263BA">
      <w:pPr>
        <w:pStyle w:val="Tekstpodstawowy2"/>
        <w:numPr>
          <w:ilvl w:val="3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20" w:line="360" w:lineRule="auto"/>
        <w:ind w:left="993" w:hanging="567"/>
        <w:rPr>
          <w:rFonts w:ascii="Verdana" w:hAnsi="Verdana" w:cs="Arial"/>
          <w:sz w:val="20"/>
          <w:szCs w:val="20"/>
        </w:rPr>
      </w:pPr>
      <w:r w:rsidRPr="00BA629C">
        <w:rPr>
          <w:rFonts w:ascii="Verdana" w:hAnsi="Verdana" w:cs="Arial"/>
          <w:sz w:val="20"/>
          <w:szCs w:val="20"/>
        </w:rPr>
        <w:t xml:space="preserve">kategoria czwarta: </w:t>
      </w:r>
      <w:r w:rsidRPr="00BA629C">
        <w:rPr>
          <w:rFonts w:ascii="Verdana" w:hAnsi="Verdana"/>
          <w:sz w:val="20"/>
          <w:szCs w:val="20"/>
        </w:rPr>
        <w:t>bez względu na liczbę niestosowanych zasad</w:t>
      </w:r>
      <w:r w:rsidR="00951C5C" w:rsidRPr="00BA629C">
        <w:rPr>
          <w:rFonts w:ascii="Verdana" w:hAnsi="Verdana"/>
          <w:sz w:val="20"/>
          <w:szCs w:val="20"/>
        </w:rPr>
        <w:t xml:space="preserve"> </w:t>
      </w:r>
      <w:r w:rsidR="00951C5C" w:rsidRPr="00BA629C">
        <w:rPr>
          <w:rFonts w:ascii="Verdana" w:hAnsi="Verdana" w:cs="Arial"/>
          <w:sz w:val="20"/>
          <w:szCs w:val="20"/>
        </w:rPr>
        <w:t>szczegółowych Dobrych Praktyk GPW</w:t>
      </w:r>
      <w:r w:rsidRPr="00BA629C">
        <w:rPr>
          <w:rFonts w:ascii="Verdana" w:hAnsi="Verdana"/>
          <w:sz w:val="20"/>
          <w:szCs w:val="20"/>
        </w:rPr>
        <w:t xml:space="preserve">, w </w:t>
      </w:r>
      <w:r w:rsidR="00951C5C" w:rsidRPr="00BA629C">
        <w:rPr>
          <w:rFonts w:ascii="Verdana" w:hAnsi="Verdana"/>
          <w:sz w:val="20"/>
          <w:szCs w:val="20"/>
        </w:rPr>
        <w:t xml:space="preserve">przypadku </w:t>
      </w:r>
      <w:r w:rsidRPr="00BA629C">
        <w:rPr>
          <w:rFonts w:ascii="Verdana" w:hAnsi="Verdana"/>
          <w:sz w:val="20"/>
          <w:szCs w:val="20"/>
        </w:rPr>
        <w:t xml:space="preserve">gdy </w:t>
      </w:r>
      <w:r w:rsidRPr="00BA629C">
        <w:rPr>
          <w:rFonts w:ascii="Verdana" w:hAnsi="Verdana" w:cs="Arial"/>
          <w:sz w:val="20"/>
          <w:szCs w:val="20"/>
        </w:rPr>
        <w:t xml:space="preserve">oświadczenie spółki </w:t>
      </w:r>
      <w:r w:rsidR="00BF7DE5" w:rsidRPr="00BA629C">
        <w:rPr>
          <w:rFonts w:ascii="Verdana" w:hAnsi="Verdana" w:cs="Arial"/>
          <w:sz w:val="20"/>
          <w:szCs w:val="20"/>
        </w:rPr>
        <w:t xml:space="preserve">o stosowaniu </w:t>
      </w:r>
      <w:r w:rsidRPr="00BA629C">
        <w:rPr>
          <w:rFonts w:ascii="Verdana" w:hAnsi="Verdana" w:cs="Arial"/>
          <w:sz w:val="20"/>
          <w:szCs w:val="20"/>
        </w:rPr>
        <w:t>ładu korporacyjnego zawarte w raporcie rocznym</w:t>
      </w:r>
      <w:r w:rsidR="000B328C" w:rsidRPr="00BA629C">
        <w:rPr>
          <w:rFonts w:ascii="Verdana" w:hAnsi="Verdana" w:cs="Arial"/>
          <w:sz w:val="20"/>
          <w:szCs w:val="20"/>
        </w:rPr>
        <w:t xml:space="preserve"> jest niezgodne z oświadczeniami </w:t>
      </w:r>
      <w:r w:rsidRPr="00BA629C">
        <w:rPr>
          <w:rFonts w:ascii="Verdana" w:hAnsi="Verdana" w:cs="Arial"/>
          <w:sz w:val="20"/>
          <w:szCs w:val="20"/>
        </w:rPr>
        <w:t>przekazywanym</w:t>
      </w:r>
      <w:r w:rsidR="000B328C" w:rsidRPr="00BA629C">
        <w:rPr>
          <w:rFonts w:ascii="Verdana" w:hAnsi="Verdana" w:cs="Arial"/>
          <w:sz w:val="20"/>
          <w:szCs w:val="20"/>
        </w:rPr>
        <w:t>i</w:t>
      </w:r>
      <w:r w:rsidRPr="00BA629C">
        <w:rPr>
          <w:rFonts w:ascii="Verdana" w:hAnsi="Verdana" w:cs="Arial"/>
          <w:sz w:val="20"/>
          <w:szCs w:val="20"/>
        </w:rPr>
        <w:t xml:space="preserve"> </w:t>
      </w:r>
      <w:r w:rsidR="00951C5C" w:rsidRPr="00BA629C">
        <w:rPr>
          <w:rFonts w:ascii="Verdana" w:hAnsi="Verdana" w:cs="Arial"/>
          <w:sz w:val="20"/>
          <w:szCs w:val="20"/>
        </w:rPr>
        <w:t>w raportach sporząd</w:t>
      </w:r>
      <w:r w:rsidR="00C33C9E" w:rsidRPr="00BA629C">
        <w:rPr>
          <w:rFonts w:ascii="Verdana" w:hAnsi="Verdana" w:cs="Arial"/>
          <w:sz w:val="20"/>
          <w:szCs w:val="20"/>
        </w:rPr>
        <w:t>z</w:t>
      </w:r>
      <w:r w:rsidR="000B328C" w:rsidRPr="00BA629C">
        <w:rPr>
          <w:rFonts w:ascii="Verdana" w:hAnsi="Verdana" w:cs="Arial"/>
          <w:sz w:val="20"/>
          <w:szCs w:val="20"/>
        </w:rPr>
        <w:t>a</w:t>
      </w:r>
      <w:r w:rsidR="00951C5C" w:rsidRPr="00BA629C">
        <w:rPr>
          <w:rFonts w:ascii="Verdana" w:hAnsi="Verdana" w:cs="Arial"/>
          <w:sz w:val="20"/>
          <w:szCs w:val="20"/>
        </w:rPr>
        <w:t xml:space="preserve">nych na </w:t>
      </w:r>
      <w:r w:rsidRPr="00BA629C">
        <w:rPr>
          <w:rFonts w:ascii="Verdana" w:hAnsi="Verdana" w:cs="Arial"/>
          <w:sz w:val="20"/>
          <w:szCs w:val="20"/>
        </w:rPr>
        <w:t xml:space="preserve">podstawie § 29 ust. 3 Regulaminu Giełdy, </w:t>
      </w:r>
      <w:r w:rsidR="00820640" w:rsidRPr="00BA629C">
        <w:rPr>
          <w:rFonts w:ascii="Verdana" w:hAnsi="Verdana" w:cs="Arial"/>
          <w:sz w:val="20"/>
          <w:szCs w:val="20"/>
        </w:rPr>
        <w:t xml:space="preserve">lub </w:t>
      </w:r>
      <w:r w:rsidR="009263BA" w:rsidRPr="00BA629C">
        <w:rPr>
          <w:rFonts w:ascii="Verdana" w:hAnsi="Verdana"/>
          <w:sz w:val="20"/>
          <w:szCs w:val="20"/>
        </w:rPr>
        <w:t xml:space="preserve">gdy informacje przekazane w </w:t>
      </w:r>
      <w:r w:rsidR="00E813A2">
        <w:rPr>
          <w:rFonts w:ascii="Verdana" w:hAnsi="Verdana"/>
          <w:sz w:val="20"/>
          <w:szCs w:val="20"/>
        </w:rPr>
        <w:t xml:space="preserve">tych </w:t>
      </w:r>
      <w:r w:rsidR="009263BA" w:rsidRPr="00BA629C">
        <w:rPr>
          <w:rFonts w:ascii="Verdana" w:hAnsi="Verdana"/>
          <w:sz w:val="20"/>
          <w:szCs w:val="20"/>
        </w:rPr>
        <w:t xml:space="preserve">raportach są </w:t>
      </w:r>
      <w:r w:rsidRPr="00BA629C">
        <w:rPr>
          <w:rFonts w:ascii="Verdana" w:hAnsi="Verdana" w:cs="Arial"/>
          <w:sz w:val="20"/>
          <w:szCs w:val="20"/>
        </w:rPr>
        <w:t>niezgodne ze stanem faktycznym.</w:t>
      </w:r>
    </w:p>
    <w:p w14:paraId="3A856AA9" w14:textId="77777777" w:rsidR="003002C3" w:rsidRPr="002E4E97" w:rsidRDefault="003002C3" w:rsidP="002E4E97">
      <w:pPr>
        <w:spacing w:after="0" w:line="360" w:lineRule="auto"/>
        <w:ind w:left="0"/>
        <w:rPr>
          <w:rFonts w:ascii="Verdana" w:hAnsi="Verdana" w:cs="Arial"/>
          <w:sz w:val="20"/>
          <w:szCs w:val="20"/>
        </w:rPr>
      </w:pPr>
    </w:p>
    <w:p w14:paraId="6D93F9A5" w14:textId="77777777" w:rsidR="00D14DBE" w:rsidRPr="008F140B" w:rsidRDefault="00D14DBE" w:rsidP="008F140B">
      <w:pPr>
        <w:pStyle w:val="Tekstpodstawowy2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240" w:line="360" w:lineRule="auto"/>
        <w:ind w:left="567" w:hanging="567"/>
        <w:rPr>
          <w:rFonts w:ascii="Verdana" w:hAnsi="Verdana"/>
          <w:b/>
          <w:i/>
          <w:sz w:val="20"/>
          <w:szCs w:val="20"/>
        </w:rPr>
      </w:pPr>
      <w:r w:rsidRPr="008F140B">
        <w:rPr>
          <w:rFonts w:ascii="Verdana" w:hAnsi="Verdana"/>
          <w:b/>
          <w:sz w:val="20"/>
          <w:szCs w:val="20"/>
        </w:rPr>
        <w:t>Typ indeksu</w:t>
      </w:r>
    </w:p>
    <w:p w14:paraId="60DD1D89" w14:textId="77777777" w:rsidR="00D14DBE" w:rsidRPr="008638D5" w:rsidRDefault="00CA5640" w:rsidP="008B4509">
      <w:pPr>
        <w:pStyle w:val="Tekstpodstawowy2"/>
        <w:spacing w:line="360" w:lineRule="auto"/>
        <w:ind w:left="0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WIG-ESG</w:t>
      </w:r>
      <w:r w:rsidR="00D14DBE" w:rsidRPr="008638D5">
        <w:rPr>
          <w:rFonts w:ascii="Verdana" w:hAnsi="Verdana" w:cs="Arial"/>
          <w:sz w:val="20"/>
          <w:szCs w:val="20"/>
        </w:rPr>
        <w:t xml:space="preserve"> jest indeksem dochodowym, uwzględniającym dochody z tytułu dywidend i</w:t>
      </w:r>
      <w:r w:rsidR="0031700B" w:rsidRPr="008638D5">
        <w:rPr>
          <w:rFonts w:ascii="Verdana" w:hAnsi="Verdana" w:cs="Arial"/>
          <w:sz w:val="20"/>
          <w:szCs w:val="20"/>
        </w:rPr>
        <w:t> </w:t>
      </w:r>
      <w:r w:rsidR="00D14DBE" w:rsidRPr="008638D5">
        <w:rPr>
          <w:rFonts w:ascii="Verdana" w:hAnsi="Verdana" w:cs="Arial"/>
          <w:sz w:val="20"/>
          <w:szCs w:val="20"/>
        </w:rPr>
        <w:t>praw poboru.</w:t>
      </w:r>
    </w:p>
    <w:p w14:paraId="1DC2EE82" w14:textId="77777777" w:rsidR="00D14DBE" w:rsidRPr="008638D5" w:rsidRDefault="00D14DBE" w:rsidP="004B7AEB">
      <w:pPr>
        <w:pStyle w:val="Tekstpodstawowy2"/>
        <w:spacing w:line="360" w:lineRule="auto"/>
        <w:rPr>
          <w:rFonts w:ascii="Verdana" w:hAnsi="Verdana" w:cs="Arial"/>
          <w:sz w:val="20"/>
          <w:szCs w:val="20"/>
        </w:rPr>
      </w:pPr>
    </w:p>
    <w:p w14:paraId="5A44AD9E" w14:textId="77777777" w:rsidR="00D14DBE" w:rsidRPr="008F140B" w:rsidRDefault="00D14DBE" w:rsidP="008F140B">
      <w:pPr>
        <w:pStyle w:val="Nagwek4"/>
        <w:keepLines w:val="0"/>
        <w:numPr>
          <w:ilvl w:val="0"/>
          <w:numId w:val="8"/>
        </w:numPr>
        <w:spacing w:before="0" w:after="240" w:line="360" w:lineRule="auto"/>
        <w:ind w:left="426" w:hanging="426"/>
        <w:rPr>
          <w:rFonts w:ascii="Verdana" w:hAnsi="Verdana" w:cs="Arial"/>
          <w:i w:val="0"/>
          <w:color w:val="auto"/>
          <w:sz w:val="20"/>
          <w:szCs w:val="20"/>
        </w:rPr>
      </w:pPr>
      <w:r w:rsidRPr="008F140B">
        <w:rPr>
          <w:rFonts w:ascii="Verdana" w:hAnsi="Verdana" w:cs="Arial"/>
          <w:i w:val="0"/>
          <w:color w:val="auto"/>
          <w:sz w:val="20"/>
          <w:szCs w:val="20"/>
        </w:rPr>
        <w:t>Uczestnicy indeksu</w:t>
      </w:r>
    </w:p>
    <w:p w14:paraId="17C56FAD" w14:textId="4D1F5B53" w:rsidR="00D14DBE" w:rsidRPr="008638D5" w:rsidRDefault="007F1FC6" w:rsidP="004B7AEB">
      <w:pPr>
        <w:pStyle w:val="Tekstpodstawowy"/>
        <w:numPr>
          <w:ilvl w:val="1"/>
          <w:numId w:val="8"/>
        </w:numPr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Indeks </w:t>
      </w:r>
      <w:r w:rsidR="00CA5640" w:rsidRPr="008638D5">
        <w:rPr>
          <w:rFonts w:ascii="Verdana" w:hAnsi="Verdana" w:cs="Arial"/>
          <w:sz w:val="20"/>
          <w:szCs w:val="20"/>
        </w:rPr>
        <w:t>WIG-ESG</w:t>
      </w:r>
      <w:r w:rsidR="00D14DBE" w:rsidRPr="008638D5">
        <w:rPr>
          <w:rFonts w:ascii="Verdana" w:hAnsi="Verdana" w:cs="Arial"/>
          <w:sz w:val="20"/>
          <w:szCs w:val="20"/>
        </w:rPr>
        <w:t xml:space="preserve"> obejmuje spółki notowane na rynku regulowanym Giełdy Papierów Wartościowych w Warszawie S.A., </w:t>
      </w:r>
      <w:r w:rsidR="00940FDD" w:rsidRPr="008638D5">
        <w:rPr>
          <w:rFonts w:ascii="Verdana" w:hAnsi="Verdana" w:cs="Arial"/>
          <w:sz w:val="20"/>
          <w:szCs w:val="20"/>
        </w:rPr>
        <w:t xml:space="preserve">które </w:t>
      </w:r>
      <w:r w:rsidR="0041567C" w:rsidRPr="008638D5">
        <w:rPr>
          <w:rFonts w:ascii="Verdana" w:hAnsi="Verdana" w:cs="Arial"/>
          <w:sz w:val="20"/>
          <w:szCs w:val="20"/>
        </w:rPr>
        <w:t>są uczestnikami indeksów WIG20 i mWIG40</w:t>
      </w:r>
      <w:r w:rsidR="00C650A9">
        <w:rPr>
          <w:rFonts w:ascii="Verdana" w:hAnsi="Verdana" w:cs="Arial"/>
          <w:sz w:val="20"/>
          <w:szCs w:val="20"/>
        </w:rPr>
        <w:t>,</w:t>
      </w:r>
      <w:r w:rsidR="006C2F16" w:rsidRPr="008638D5">
        <w:rPr>
          <w:rFonts w:ascii="Verdana" w:hAnsi="Verdana" w:cs="Arial"/>
          <w:sz w:val="20"/>
          <w:szCs w:val="20"/>
        </w:rPr>
        <w:t xml:space="preserve"> według stanu na koniec </w:t>
      </w:r>
      <w:r w:rsidR="00790B49" w:rsidRPr="008638D5">
        <w:rPr>
          <w:rFonts w:ascii="Verdana" w:hAnsi="Verdana" w:cs="Arial"/>
          <w:sz w:val="20"/>
          <w:szCs w:val="20"/>
        </w:rPr>
        <w:t>lipca</w:t>
      </w:r>
      <w:r w:rsidR="0041567C" w:rsidRPr="008638D5">
        <w:rPr>
          <w:rFonts w:ascii="Verdana" w:hAnsi="Verdana" w:cs="Arial"/>
          <w:sz w:val="20"/>
          <w:szCs w:val="20"/>
        </w:rPr>
        <w:t xml:space="preserve"> danego roku</w:t>
      </w:r>
      <w:r w:rsidR="00B415F8" w:rsidRPr="008638D5">
        <w:rPr>
          <w:rFonts w:ascii="Verdana" w:hAnsi="Verdana" w:cs="Arial"/>
          <w:sz w:val="20"/>
          <w:szCs w:val="20"/>
        </w:rPr>
        <w:t xml:space="preserve">. </w:t>
      </w:r>
    </w:p>
    <w:p w14:paraId="0C59FB32" w14:textId="6839DF3D" w:rsidR="00D14DBE" w:rsidRPr="008638D5" w:rsidRDefault="000E7B8C" w:rsidP="004B7AEB">
      <w:pPr>
        <w:pStyle w:val="Tekstpodstawowy"/>
        <w:numPr>
          <w:ilvl w:val="1"/>
          <w:numId w:val="8"/>
        </w:numPr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lastRenderedPageBreak/>
        <w:t xml:space="preserve">Spółki </w:t>
      </w:r>
      <w:r w:rsidR="007F1FC6">
        <w:rPr>
          <w:rFonts w:ascii="Verdana" w:hAnsi="Verdana" w:cs="Arial"/>
          <w:sz w:val="20"/>
          <w:szCs w:val="20"/>
        </w:rPr>
        <w:t xml:space="preserve">wchodzące w skład </w:t>
      </w:r>
      <w:r w:rsidRPr="008638D5">
        <w:rPr>
          <w:rFonts w:ascii="Verdana" w:hAnsi="Verdana" w:cs="Arial"/>
          <w:sz w:val="20"/>
          <w:szCs w:val="20"/>
        </w:rPr>
        <w:t>indeks</w:t>
      </w:r>
      <w:r w:rsidR="007F1FC6">
        <w:rPr>
          <w:rFonts w:ascii="Verdana" w:hAnsi="Verdana" w:cs="Arial"/>
          <w:sz w:val="20"/>
          <w:szCs w:val="20"/>
        </w:rPr>
        <w:t xml:space="preserve">u </w:t>
      </w:r>
      <w:r w:rsidR="00C33C9E" w:rsidRPr="008638D5">
        <w:rPr>
          <w:rFonts w:ascii="Verdana" w:hAnsi="Verdana" w:cs="Arial"/>
          <w:sz w:val="20"/>
          <w:szCs w:val="20"/>
        </w:rPr>
        <w:t xml:space="preserve">WIG-ESG </w:t>
      </w:r>
      <w:r w:rsidR="006C2F16" w:rsidRPr="008638D5">
        <w:rPr>
          <w:rFonts w:ascii="Verdana" w:hAnsi="Verdana" w:cs="Arial"/>
          <w:sz w:val="20"/>
          <w:szCs w:val="20"/>
        </w:rPr>
        <w:t xml:space="preserve">zwane są „Uczestnikami </w:t>
      </w:r>
      <w:r w:rsidR="007F1FC6">
        <w:rPr>
          <w:rFonts w:ascii="Verdana" w:hAnsi="Verdana" w:cs="Arial"/>
          <w:sz w:val="20"/>
          <w:szCs w:val="20"/>
        </w:rPr>
        <w:t>I</w:t>
      </w:r>
      <w:r w:rsidR="006C2F16" w:rsidRPr="008638D5">
        <w:rPr>
          <w:rFonts w:ascii="Verdana" w:hAnsi="Verdana" w:cs="Arial"/>
          <w:sz w:val="20"/>
          <w:szCs w:val="20"/>
        </w:rPr>
        <w:t>ndeksu</w:t>
      </w:r>
      <w:r w:rsidR="007F1FC6">
        <w:rPr>
          <w:rFonts w:ascii="Verdana" w:hAnsi="Verdana" w:cs="Arial"/>
          <w:sz w:val="20"/>
          <w:szCs w:val="20"/>
        </w:rPr>
        <w:t xml:space="preserve"> </w:t>
      </w:r>
      <w:r w:rsidR="008F140B">
        <w:rPr>
          <w:rFonts w:ascii="Verdana" w:hAnsi="Verdana" w:cs="Arial"/>
          <w:sz w:val="20"/>
          <w:szCs w:val="20"/>
        </w:rPr>
        <w:t>WIG-</w:t>
      </w:r>
      <w:r w:rsidR="007F1FC6">
        <w:rPr>
          <w:rFonts w:ascii="Verdana" w:hAnsi="Verdana" w:cs="Arial"/>
          <w:sz w:val="20"/>
          <w:szCs w:val="20"/>
        </w:rPr>
        <w:t>ESG</w:t>
      </w:r>
      <w:r w:rsidR="006C2F16" w:rsidRPr="008638D5">
        <w:rPr>
          <w:rFonts w:ascii="Verdana" w:hAnsi="Verdana" w:cs="Arial"/>
          <w:sz w:val="20"/>
          <w:szCs w:val="20"/>
        </w:rPr>
        <w:t>”.</w:t>
      </w:r>
      <w:r w:rsidR="00F742D7" w:rsidRPr="008638D5">
        <w:rPr>
          <w:rFonts w:ascii="Verdana" w:hAnsi="Verdana" w:cs="Arial"/>
          <w:sz w:val="20"/>
          <w:szCs w:val="20"/>
        </w:rPr>
        <w:t xml:space="preserve"> </w:t>
      </w:r>
    </w:p>
    <w:p w14:paraId="73065B3E" w14:textId="7D66CC10" w:rsidR="00D14DBE" w:rsidRPr="008638D5" w:rsidRDefault="00D14DBE" w:rsidP="004B7AEB">
      <w:pPr>
        <w:pStyle w:val="Tekstpodstawowy"/>
        <w:numPr>
          <w:ilvl w:val="1"/>
          <w:numId w:val="8"/>
        </w:numPr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Giełda podaje do publicznej wiadomości, na swojej stronie internetowej, listę Uczestników </w:t>
      </w:r>
      <w:r w:rsidR="007F1FC6">
        <w:rPr>
          <w:rFonts w:ascii="Verdana" w:hAnsi="Verdana" w:cs="Arial"/>
          <w:sz w:val="20"/>
          <w:szCs w:val="20"/>
        </w:rPr>
        <w:t>I</w:t>
      </w:r>
      <w:r w:rsidRPr="008638D5">
        <w:rPr>
          <w:rFonts w:ascii="Verdana" w:hAnsi="Verdana" w:cs="Arial"/>
          <w:sz w:val="20"/>
          <w:szCs w:val="20"/>
        </w:rPr>
        <w:t xml:space="preserve">ndeksu </w:t>
      </w:r>
      <w:r w:rsidR="008F140B">
        <w:rPr>
          <w:rFonts w:ascii="Verdana" w:hAnsi="Verdana" w:cs="Arial"/>
          <w:sz w:val="20"/>
          <w:szCs w:val="20"/>
        </w:rPr>
        <w:t>WIG-</w:t>
      </w:r>
      <w:r w:rsidR="007F1FC6">
        <w:rPr>
          <w:rFonts w:ascii="Verdana" w:hAnsi="Verdana" w:cs="Arial"/>
          <w:sz w:val="20"/>
          <w:szCs w:val="20"/>
        </w:rPr>
        <w:t xml:space="preserve">ESG </w:t>
      </w:r>
      <w:r w:rsidRPr="008638D5">
        <w:rPr>
          <w:rFonts w:ascii="Verdana" w:hAnsi="Verdana" w:cs="Arial"/>
          <w:sz w:val="20"/>
          <w:szCs w:val="20"/>
        </w:rPr>
        <w:t>wraz z wielkościami pakietów akcji</w:t>
      </w:r>
      <w:r w:rsidR="00C650A9">
        <w:rPr>
          <w:rFonts w:ascii="Verdana" w:hAnsi="Verdana" w:cs="Arial"/>
          <w:sz w:val="20"/>
          <w:szCs w:val="20"/>
        </w:rPr>
        <w:t xml:space="preserve">, jak również </w:t>
      </w:r>
      <w:r w:rsidRPr="008638D5">
        <w:rPr>
          <w:rFonts w:ascii="Verdana" w:hAnsi="Verdana" w:cs="Arial"/>
          <w:sz w:val="20"/>
          <w:szCs w:val="20"/>
        </w:rPr>
        <w:t>informacje o</w:t>
      </w:r>
      <w:r w:rsidR="0031700B" w:rsidRPr="008638D5">
        <w:rPr>
          <w:rFonts w:ascii="Verdana" w:hAnsi="Verdana" w:cs="Arial"/>
          <w:sz w:val="20"/>
          <w:szCs w:val="20"/>
        </w:rPr>
        <w:t> </w:t>
      </w:r>
      <w:r w:rsidR="00C650A9">
        <w:rPr>
          <w:rFonts w:ascii="Verdana" w:hAnsi="Verdana" w:cs="Arial"/>
          <w:sz w:val="20"/>
          <w:szCs w:val="20"/>
        </w:rPr>
        <w:t xml:space="preserve">planowanych </w:t>
      </w:r>
      <w:r w:rsidRPr="008638D5">
        <w:rPr>
          <w:rFonts w:ascii="Verdana" w:hAnsi="Verdana" w:cs="Arial"/>
          <w:sz w:val="20"/>
          <w:szCs w:val="20"/>
        </w:rPr>
        <w:t>zmianach w składzie</w:t>
      </w:r>
      <w:r w:rsidR="00C650A9">
        <w:rPr>
          <w:rFonts w:ascii="Verdana" w:hAnsi="Verdana" w:cs="Arial"/>
          <w:sz w:val="20"/>
          <w:szCs w:val="20"/>
        </w:rPr>
        <w:t xml:space="preserve"> indeksu</w:t>
      </w:r>
      <w:r w:rsidR="00C33C9E" w:rsidRPr="00C33C9E">
        <w:rPr>
          <w:rFonts w:ascii="Verdana" w:hAnsi="Verdana" w:cs="Arial"/>
          <w:sz w:val="20"/>
          <w:szCs w:val="20"/>
        </w:rPr>
        <w:t xml:space="preserve"> </w:t>
      </w:r>
      <w:r w:rsidR="00C33C9E" w:rsidRPr="008638D5">
        <w:rPr>
          <w:rFonts w:ascii="Verdana" w:hAnsi="Verdana" w:cs="Arial"/>
          <w:sz w:val="20"/>
          <w:szCs w:val="20"/>
        </w:rPr>
        <w:t>WIG-ESG</w:t>
      </w:r>
      <w:r w:rsidRPr="008638D5">
        <w:rPr>
          <w:rFonts w:ascii="Verdana" w:hAnsi="Verdana" w:cs="Arial"/>
          <w:sz w:val="20"/>
          <w:szCs w:val="20"/>
        </w:rPr>
        <w:t>.</w:t>
      </w:r>
    </w:p>
    <w:p w14:paraId="55E74E8F" w14:textId="77777777" w:rsidR="00937705" w:rsidRDefault="00937705" w:rsidP="004B7AEB">
      <w:pPr>
        <w:pStyle w:val="Tekstpodstawowy"/>
        <w:spacing w:line="360" w:lineRule="auto"/>
        <w:ind w:left="426"/>
        <w:rPr>
          <w:rFonts w:ascii="Verdana" w:hAnsi="Verdana" w:cs="Arial"/>
          <w:sz w:val="20"/>
          <w:szCs w:val="20"/>
        </w:rPr>
      </w:pPr>
    </w:p>
    <w:p w14:paraId="5F3B71CD" w14:textId="77777777" w:rsidR="00D14DBE" w:rsidRPr="002E4E97" w:rsidRDefault="00D14DBE" w:rsidP="004B7AEB">
      <w:pPr>
        <w:pStyle w:val="Nagwek4"/>
        <w:keepLines w:val="0"/>
        <w:numPr>
          <w:ilvl w:val="0"/>
          <w:numId w:val="8"/>
        </w:numPr>
        <w:spacing w:before="0" w:line="360" w:lineRule="auto"/>
        <w:ind w:left="426" w:hanging="426"/>
        <w:rPr>
          <w:rFonts w:ascii="Verdana" w:hAnsi="Verdana" w:cs="Arial"/>
          <w:i w:val="0"/>
          <w:color w:val="auto"/>
          <w:sz w:val="20"/>
          <w:szCs w:val="20"/>
        </w:rPr>
      </w:pPr>
      <w:r w:rsidRPr="002E4E97">
        <w:rPr>
          <w:rFonts w:ascii="Verdana" w:hAnsi="Verdana" w:cs="Arial"/>
          <w:i w:val="0"/>
          <w:color w:val="auto"/>
          <w:sz w:val="20"/>
          <w:szCs w:val="20"/>
        </w:rPr>
        <w:t>Udziały w indeksie</w:t>
      </w:r>
    </w:p>
    <w:p w14:paraId="0689AC0E" w14:textId="77777777" w:rsidR="00D14DBE" w:rsidRPr="008638D5" w:rsidRDefault="00D14DBE" w:rsidP="004B7AEB">
      <w:pPr>
        <w:spacing w:after="0" w:line="360" w:lineRule="auto"/>
        <w:rPr>
          <w:rFonts w:ascii="Verdana" w:hAnsi="Verdana"/>
          <w:sz w:val="20"/>
          <w:szCs w:val="20"/>
          <w:lang w:eastAsia="pl-PL"/>
        </w:rPr>
      </w:pPr>
    </w:p>
    <w:p w14:paraId="6A9A3BBF" w14:textId="6D1A846D" w:rsidR="008F140B" w:rsidRPr="008F140B" w:rsidRDefault="00D14DBE" w:rsidP="00D55479">
      <w:pPr>
        <w:pStyle w:val="Akapitzlist"/>
        <w:numPr>
          <w:ilvl w:val="1"/>
          <w:numId w:val="8"/>
        </w:numPr>
        <w:spacing w:after="0" w:line="360" w:lineRule="auto"/>
        <w:ind w:left="426"/>
        <w:rPr>
          <w:rFonts w:ascii="Verdana" w:hAnsi="Verdana" w:cs="Arial"/>
          <w:sz w:val="20"/>
          <w:szCs w:val="20"/>
        </w:rPr>
      </w:pPr>
      <w:r w:rsidRPr="008F140B">
        <w:rPr>
          <w:rFonts w:ascii="Verdana" w:hAnsi="Verdana" w:cs="Arial"/>
          <w:sz w:val="20"/>
          <w:szCs w:val="20"/>
        </w:rPr>
        <w:t xml:space="preserve">Pakiet akcji spółki </w:t>
      </w:r>
      <w:r w:rsidR="00641D43" w:rsidRPr="007A0455">
        <w:rPr>
          <w:rFonts w:ascii="Verdana" w:hAnsi="Verdana" w:cs="Arial"/>
          <w:sz w:val="20"/>
        </w:rPr>
        <w:t>wchodzący w skład portfel</w:t>
      </w:r>
      <w:r w:rsidR="00641D43">
        <w:rPr>
          <w:rFonts w:ascii="Verdana" w:hAnsi="Verdana" w:cs="Arial"/>
          <w:sz w:val="20"/>
        </w:rPr>
        <w:t>a</w:t>
      </w:r>
      <w:r w:rsidR="00641D43" w:rsidRPr="007A0455">
        <w:rPr>
          <w:rFonts w:ascii="Verdana" w:hAnsi="Verdana" w:cs="Arial"/>
          <w:sz w:val="20"/>
        </w:rPr>
        <w:t xml:space="preserve"> indeks</w:t>
      </w:r>
      <w:r w:rsidR="00641D43">
        <w:rPr>
          <w:rFonts w:ascii="Verdana" w:hAnsi="Verdana" w:cs="Arial"/>
          <w:sz w:val="20"/>
        </w:rPr>
        <w:t>u</w:t>
      </w:r>
      <w:r w:rsidR="00641D43" w:rsidRPr="007A0455">
        <w:rPr>
          <w:rFonts w:ascii="Verdana" w:hAnsi="Verdana" w:cs="Arial"/>
          <w:sz w:val="20"/>
        </w:rPr>
        <w:t xml:space="preserve"> </w:t>
      </w:r>
      <w:r w:rsidR="00C33C9E" w:rsidRPr="008638D5">
        <w:rPr>
          <w:rFonts w:ascii="Verdana" w:hAnsi="Verdana" w:cs="Arial"/>
          <w:sz w:val="20"/>
          <w:szCs w:val="20"/>
        </w:rPr>
        <w:t xml:space="preserve">WIG-ESG </w:t>
      </w:r>
      <w:r w:rsidRPr="008F140B">
        <w:rPr>
          <w:rFonts w:ascii="Verdana" w:hAnsi="Verdana" w:cs="Arial"/>
          <w:sz w:val="20"/>
          <w:szCs w:val="20"/>
        </w:rPr>
        <w:t>stanowi</w:t>
      </w:r>
      <w:r w:rsidR="00641D43">
        <w:rPr>
          <w:rFonts w:ascii="Verdana" w:hAnsi="Verdana" w:cs="Arial"/>
          <w:sz w:val="20"/>
          <w:szCs w:val="20"/>
        </w:rPr>
        <w:t xml:space="preserve">ą wszystkie akcje </w:t>
      </w:r>
      <w:r w:rsidRPr="00442F4C">
        <w:rPr>
          <w:rFonts w:ascii="Verdana" w:hAnsi="Verdana" w:cs="Arial"/>
          <w:sz w:val="20"/>
          <w:szCs w:val="20"/>
        </w:rPr>
        <w:t>w wolnym obrocie</w:t>
      </w:r>
      <w:r w:rsidR="00442F4C">
        <w:rPr>
          <w:rFonts w:ascii="Verdana" w:hAnsi="Verdana" w:cs="Arial"/>
          <w:sz w:val="20"/>
          <w:szCs w:val="20"/>
        </w:rPr>
        <w:t>,</w:t>
      </w:r>
      <w:r w:rsidRPr="00442F4C">
        <w:rPr>
          <w:rFonts w:ascii="Verdana" w:hAnsi="Verdana" w:cs="Arial"/>
          <w:sz w:val="20"/>
          <w:szCs w:val="20"/>
        </w:rPr>
        <w:t xml:space="preserve"> w</w:t>
      </w:r>
      <w:r w:rsidR="0031700B" w:rsidRPr="00442F4C">
        <w:rPr>
          <w:rFonts w:ascii="Verdana" w:hAnsi="Verdana" w:cs="Arial"/>
          <w:sz w:val="20"/>
          <w:szCs w:val="20"/>
        </w:rPr>
        <w:t> </w:t>
      </w:r>
      <w:r w:rsidRPr="00442F4C">
        <w:rPr>
          <w:rFonts w:ascii="Verdana" w:hAnsi="Verdana" w:cs="Arial"/>
          <w:sz w:val="20"/>
          <w:szCs w:val="20"/>
        </w:rPr>
        <w:t xml:space="preserve">liczbie nie większej niż liczba akcji wprowadzonych do obrotu giełdowego zaokrąglona do pełnych tysięcy. </w:t>
      </w:r>
      <w:r w:rsidR="008F140B" w:rsidRPr="00442F4C">
        <w:rPr>
          <w:rFonts w:ascii="Verdana" w:hAnsi="Verdana" w:cs="Arial"/>
          <w:sz w:val="20"/>
          <w:szCs w:val="20"/>
        </w:rPr>
        <w:t>Liczb</w:t>
      </w:r>
      <w:r w:rsidR="00442F4C">
        <w:rPr>
          <w:rFonts w:ascii="Verdana" w:hAnsi="Verdana" w:cs="Arial"/>
          <w:sz w:val="20"/>
          <w:szCs w:val="20"/>
        </w:rPr>
        <w:t>ę</w:t>
      </w:r>
      <w:r w:rsidR="008F140B" w:rsidRPr="00442F4C">
        <w:rPr>
          <w:rFonts w:ascii="Verdana" w:hAnsi="Verdana" w:cs="Arial"/>
          <w:sz w:val="20"/>
          <w:szCs w:val="20"/>
        </w:rPr>
        <w:t xml:space="preserve"> akcji w wolnym obrocie </w:t>
      </w:r>
      <w:r w:rsidR="008F140B" w:rsidRPr="002E4E97">
        <w:rPr>
          <w:rFonts w:ascii="Verdana" w:hAnsi="Verdana" w:cs="Arial"/>
          <w:sz w:val="20"/>
          <w:szCs w:val="20"/>
        </w:rPr>
        <w:t xml:space="preserve">ustala się </w:t>
      </w:r>
      <w:r w:rsidR="008F140B" w:rsidRPr="002E4E97">
        <w:rPr>
          <w:rFonts w:ascii="Verdana" w:hAnsi="Verdana" w:cs="Arial"/>
          <w:bCs/>
          <w:sz w:val="20"/>
          <w:szCs w:val="20"/>
        </w:rPr>
        <w:t xml:space="preserve">zgodnie z postanowieniami Uchwały </w:t>
      </w:r>
      <w:r w:rsidR="00D8019B">
        <w:rPr>
          <w:rFonts w:ascii="Verdana" w:hAnsi="Verdana" w:cs="Arial"/>
          <w:bCs/>
          <w:sz w:val="20"/>
          <w:szCs w:val="20"/>
        </w:rPr>
        <w:br/>
      </w:r>
      <w:r w:rsidR="008F140B" w:rsidRPr="002E4E97">
        <w:rPr>
          <w:rFonts w:ascii="Verdana" w:hAnsi="Verdana" w:cs="Arial"/>
          <w:bCs/>
          <w:sz w:val="20"/>
          <w:szCs w:val="20"/>
        </w:rPr>
        <w:t>Nr 159/2007 Zarządu Giełdy Papierów Wartościowych w Warszawie S.A. z dnia 7 marca 2007 r. (z późn. zm.).</w:t>
      </w:r>
    </w:p>
    <w:p w14:paraId="39F3041A" w14:textId="28B8344C" w:rsidR="00D14DBE" w:rsidRPr="008638D5" w:rsidRDefault="00D14DBE" w:rsidP="004B7AEB">
      <w:pPr>
        <w:pStyle w:val="Tekstpodstawowy"/>
        <w:numPr>
          <w:ilvl w:val="1"/>
          <w:numId w:val="8"/>
        </w:numPr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Wielkość pakietu akcji znajdujących si</w:t>
      </w:r>
      <w:r w:rsidR="00F55162" w:rsidRPr="008638D5">
        <w:rPr>
          <w:rFonts w:ascii="Verdana" w:hAnsi="Verdana" w:cs="Arial"/>
          <w:sz w:val="20"/>
          <w:szCs w:val="20"/>
        </w:rPr>
        <w:t xml:space="preserve">ę w portfelu indeksu </w:t>
      </w:r>
      <w:r w:rsidR="005B3E06" w:rsidRPr="008638D5">
        <w:rPr>
          <w:rFonts w:ascii="Verdana" w:hAnsi="Verdana" w:cs="Arial"/>
          <w:sz w:val="20"/>
          <w:szCs w:val="20"/>
        </w:rPr>
        <w:t xml:space="preserve">WIG-ESG </w:t>
      </w:r>
      <w:r w:rsidR="00F55162" w:rsidRPr="008638D5">
        <w:rPr>
          <w:rFonts w:ascii="Verdana" w:hAnsi="Verdana" w:cs="Arial"/>
          <w:sz w:val="20"/>
          <w:szCs w:val="20"/>
        </w:rPr>
        <w:t>po rewizji</w:t>
      </w:r>
      <w:r w:rsidRPr="008638D5">
        <w:rPr>
          <w:rFonts w:ascii="Verdana" w:hAnsi="Verdana" w:cs="Arial"/>
          <w:sz w:val="20"/>
          <w:szCs w:val="20"/>
        </w:rPr>
        <w:t xml:space="preserve"> lub korekcie nadzwyczajnej jest zaokrąglana do pełnych tysięcy.</w:t>
      </w:r>
    </w:p>
    <w:p w14:paraId="3AF11AA2" w14:textId="422814B5" w:rsidR="00790B49" w:rsidRPr="008638D5" w:rsidRDefault="00E75BBF" w:rsidP="002E4E97">
      <w:pPr>
        <w:pStyle w:val="Tekstpodstawowy"/>
        <w:numPr>
          <w:ilvl w:val="1"/>
          <w:numId w:val="8"/>
        </w:numPr>
        <w:spacing w:after="120" w:line="360" w:lineRule="auto"/>
        <w:ind w:left="425" w:hanging="357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Udział akcji jednej spółki w portfelu indeksu </w:t>
      </w:r>
      <w:r w:rsidR="005B3E06" w:rsidRPr="008638D5">
        <w:rPr>
          <w:rFonts w:ascii="Verdana" w:hAnsi="Verdana" w:cs="Arial"/>
          <w:sz w:val="20"/>
          <w:szCs w:val="20"/>
        </w:rPr>
        <w:t xml:space="preserve">WIG-ESG </w:t>
      </w:r>
      <w:r w:rsidRPr="008638D5">
        <w:rPr>
          <w:rFonts w:ascii="Verdana" w:hAnsi="Verdana" w:cs="Arial"/>
          <w:sz w:val="20"/>
          <w:szCs w:val="20"/>
        </w:rPr>
        <w:t xml:space="preserve">jest ograniczany </w:t>
      </w:r>
      <w:r w:rsidR="00790B49" w:rsidRPr="008638D5">
        <w:rPr>
          <w:rFonts w:ascii="Verdana" w:hAnsi="Verdana" w:cs="Arial"/>
          <w:sz w:val="20"/>
          <w:szCs w:val="20"/>
        </w:rPr>
        <w:t xml:space="preserve">dwuetapowo. W pierwszym etapie </w:t>
      </w:r>
      <w:r w:rsidRPr="008638D5">
        <w:rPr>
          <w:rFonts w:ascii="Verdana" w:hAnsi="Verdana" w:cs="Arial"/>
          <w:sz w:val="20"/>
          <w:szCs w:val="20"/>
        </w:rPr>
        <w:t xml:space="preserve">w zależności od </w:t>
      </w:r>
      <w:r w:rsidR="006C4ADB" w:rsidRPr="008638D5">
        <w:rPr>
          <w:rFonts w:ascii="Verdana" w:hAnsi="Verdana" w:cs="Arial"/>
          <w:sz w:val="20"/>
          <w:szCs w:val="20"/>
        </w:rPr>
        <w:t xml:space="preserve">pozycji </w:t>
      </w:r>
      <w:r w:rsidRPr="008638D5">
        <w:rPr>
          <w:rFonts w:ascii="Verdana" w:hAnsi="Verdana" w:cs="Arial"/>
          <w:sz w:val="20"/>
          <w:szCs w:val="20"/>
        </w:rPr>
        <w:t>spółki w Rankingu</w:t>
      </w:r>
      <w:r w:rsidR="00790B49" w:rsidRPr="008638D5">
        <w:rPr>
          <w:rFonts w:ascii="Verdana" w:hAnsi="Verdana" w:cs="Arial"/>
          <w:sz w:val="20"/>
          <w:szCs w:val="20"/>
        </w:rPr>
        <w:t xml:space="preserve"> ESG, zaś w drugim etapie na podstawie </w:t>
      </w:r>
      <w:r w:rsidR="00B55012">
        <w:rPr>
          <w:rFonts w:ascii="Verdana" w:hAnsi="Verdana" w:cs="Arial"/>
          <w:sz w:val="20"/>
          <w:szCs w:val="20"/>
        </w:rPr>
        <w:t xml:space="preserve">kwalifikacji </w:t>
      </w:r>
      <w:r w:rsidR="007F1FC6">
        <w:rPr>
          <w:rFonts w:ascii="Verdana" w:hAnsi="Verdana" w:cs="Arial"/>
          <w:sz w:val="20"/>
          <w:szCs w:val="20"/>
        </w:rPr>
        <w:t>do</w:t>
      </w:r>
      <w:r w:rsidR="00B55012">
        <w:rPr>
          <w:rFonts w:ascii="Verdana" w:hAnsi="Verdana" w:cs="Arial"/>
          <w:sz w:val="20"/>
          <w:szCs w:val="20"/>
        </w:rPr>
        <w:t xml:space="preserve"> </w:t>
      </w:r>
      <w:r w:rsidR="00C650A9">
        <w:rPr>
          <w:rFonts w:ascii="Verdana" w:hAnsi="Verdana" w:cs="Arial"/>
          <w:sz w:val="20"/>
          <w:szCs w:val="20"/>
        </w:rPr>
        <w:t xml:space="preserve">określonej </w:t>
      </w:r>
      <w:r w:rsidR="00B55012">
        <w:rPr>
          <w:rFonts w:ascii="Verdana" w:hAnsi="Verdana" w:cs="Arial"/>
          <w:sz w:val="20"/>
          <w:szCs w:val="20"/>
        </w:rPr>
        <w:t xml:space="preserve">kategorii </w:t>
      </w:r>
      <w:r w:rsidR="00790B49" w:rsidRPr="008638D5">
        <w:rPr>
          <w:rFonts w:ascii="Verdana" w:hAnsi="Verdana" w:cs="Arial"/>
          <w:sz w:val="20"/>
          <w:szCs w:val="20"/>
        </w:rPr>
        <w:t>w</w:t>
      </w:r>
      <w:r w:rsidR="005B3E06">
        <w:rPr>
          <w:rFonts w:ascii="Verdana" w:hAnsi="Verdana" w:cs="Arial"/>
          <w:sz w:val="20"/>
          <w:szCs w:val="20"/>
        </w:rPr>
        <w:t> </w:t>
      </w:r>
      <w:r w:rsidR="00790B49" w:rsidRPr="008638D5">
        <w:rPr>
          <w:rFonts w:ascii="Verdana" w:hAnsi="Verdana" w:cs="Arial"/>
          <w:sz w:val="20"/>
          <w:szCs w:val="20"/>
        </w:rPr>
        <w:t xml:space="preserve"> </w:t>
      </w:r>
      <w:r w:rsidR="007F1FC6">
        <w:rPr>
          <w:rFonts w:ascii="Verdana" w:hAnsi="Verdana" w:cs="Arial"/>
          <w:sz w:val="20"/>
          <w:szCs w:val="20"/>
        </w:rPr>
        <w:t xml:space="preserve">ramach </w:t>
      </w:r>
      <w:r w:rsidR="00790B49" w:rsidRPr="008638D5">
        <w:rPr>
          <w:rFonts w:ascii="Verdana" w:hAnsi="Verdana" w:cs="Arial"/>
          <w:sz w:val="20"/>
          <w:szCs w:val="20"/>
        </w:rPr>
        <w:t>Rankingu Dobrych Praktyk</w:t>
      </w:r>
      <w:r w:rsidR="008F140B">
        <w:rPr>
          <w:rFonts w:ascii="Verdana" w:hAnsi="Verdana" w:cs="Arial"/>
          <w:sz w:val="20"/>
          <w:szCs w:val="20"/>
        </w:rPr>
        <w:t xml:space="preserve">, zgodnie z </w:t>
      </w:r>
      <w:r w:rsidR="00C650A9">
        <w:rPr>
          <w:rFonts w:ascii="Verdana" w:hAnsi="Verdana" w:cs="Arial"/>
          <w:sz w:val="20"/>
          <w:szCs w:val="20"/>
        </w:rPr>
        <w:t>poniższymi</w:t>
      </w:r>
      <w:r w:rsidR="008F140B">
        <w:rPr>
          <w:rFonts w:ascii="Verdana" w:hAnsi="Verdana" w:cs="Arial"/>
          <w:sz w:val="20"/>
          <w:szCs w:val="20"/>
        </w:rPr>
        <w:t xml:space="preserve"> zasadami:</w:t>
      </w:r>
    </w:p>
    <w:p w14:paraId="4E9793BD" w14:textId="77777777" w:rsidR="00790B49" w:rsidRPr="008638D5" w:rsidRDefault="00790B49" w:rsidP="004B7AEB">
      <w:pPr>
        <w:pStyle w:val="Tekstpodstawowy"/>
        <w:numPr>
          <w:ilvl w:val="3"/>
          <w:numId w:val="8"/>
        </w:numPr>
        <w:spacing w:line="360" w:lineRule="auto"/>
        <w:ind w:left="851" w:hanging="425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w przypadku Rankingu ESG</w:t>
      </w:r>
      <w:r w:rsidR="00E75BBF" w:rsidRPr="008638D5">
        <w:rPr>
          <w:rFonts w:ascii="Verdana" w:hAnsi="Verdana" w:cs="Arial"/>
          <w:sz w:val="20"/>
          <w:szCs w:val="20"/>
        </w:rPr>
        <w:t>:</w:t>
      </w:r>
    </w:p>
    <w:p w14:paraId="280BA02A" w14:textId="004CEB8C" w:rsidR="00EA5B0B" w:rsidRPr="00EA5B0B" w:rsidRDefault="00EA5B0B" w:rsidP="00EA5B0B">
      <w:pPr>
        <w:pStyle w:val="Tekstpodstawowy"/>
        <w:numPr>
          <w:ilvl w:val="4"/>
          <w:numId w:val="22"/>
        </w:numPr>
        <w:spacing w:line="360" w:lineRule="auto"/>
        <w:ind w:left="1134" w:hanging="283"/>
        <w:rPr>
          <w:rFonts w:ascii="Verdana" w:hAnsi="Verdana" w:cs="Arial"/>
          <w:sz w:val="20"/>
          <w:szCs w:val="20"/>
        </w:rPr>
      </w:pPr>
      <w:r w:rsidRPr="00EA5B0B">
        <w:rPr>
          <w:rFonts w:ascii="Verdana" w:hAnsi="Verdana" w:cs="Arial"/>
          <w:sz w:val="20"/>
          <w:szCs w:val="20"/>
        </w:rPr>
        <w:t xml:space="preserve">udział akcji spółek z uzyskaną </w:t>
      </w:r>
      <w:r w:rsidR="00355660" w:rsidRPr="00EA5B0B">
        <w:rPr>
          <w:rFonts w:ascii="Verdana" w:hAnsi="Verdana" w:cs="Arial"/>
          <w:sz w:val="20"/>
          <w:szCs w:val="20"/>
        </w:rPr>
        <w:t xml:space="preserve">punktacją </w:t>
      </w:r>
      <w:r w:rsidRPr="00EA5B0B">
        <w:rPr>
          <w:rFonts w:ascii="Verdana" w:hAnsi="Verdana" w:cs="Arial"/>
          <w:sz w:val="20"/>
          <w:szCs w:val="20"/>
        </w:rPr>
        <w:t>w Raportach ESG Risk Rating powyżej pierwszego, a równą lub niższą od wartości drugiego kwintyla</w:t>
      </w:r>
      <w:r w:rsidR="00355660">
        <w:rPr>
          <w:rFonts w:ascii="Verdana" w:hAnsi="Verdana" w:cs="Arial"/>
          <w:sz w:val="20"/>
          <w:szCs w:val="20"/>
        </w:rPr>
        <w:t>,</w:t>
      </w:r>
      <w:r w:rsidRPr="00EA5B0B">
        <w:rPr>
          <w:rFonts w:ascii="Verdana" w:hAnsi="Verdana" w:cs="Arial"/>
          <w:sz w:val="20"/>
          <w:szCs w:val="20"/>
        </w:rPr>
        <w:t xml:space="preserve"> jest ograniczany o 10%, </w:t>
      </w:r>
    </w:p>
    <w:p w14:paraId="610C3150" w14:textId="488E7471" w:rsidR="00EA5B0B" w:rsidRPr="00EA5B0B" w:rsidRDefault="00EA5B0B" w:rsidP="00EA5B0B">
      <w:pPr>
        <w:pStyle w:val="Tekstpodstawowy"/>
        <w:numPr>
          <w:ilvl w:val="4"/>
          <w:numId w:val="22"/>
        </w:numPr>
        <w:spacing w:line="360" w:lineRule="auto"/>
        <w:ind w:left="1134" w:hanging="283"/>
        <w:rPr>
          <w:rFonts w:ascii="Verdana" w:hAnsi="Verdana" w:cs="Arial"/>
          <w:sz w:val="20"/>
          <w:szCs w:val="20"/>
        </w:rPr>
      </w:pPr>
      <w:r w:rsidRPr="00EA5B0B">
        <w:rPr>
          <w:rFonts w:ascii="Verdana" w:hAnsi="Verdana" w:cs="Arial"/>
          <w:sz w:val="20"/>
          <w:szCs w:val="20"/>
        </w:rPr>
        <w:t>udział akc</w:t>
      </w:r>
      <w:r w:rsidR="00A12A28">
        <w:rPr>
          <w:rFonts w:ascii="Verdana" w:hAnsi="Verdana" w:cs="Arial"/>
          <w:sz w:val="20"/>
          <w:szCs w:val="20"/>
        </w:rPr>
        <w:t xml:space="preserve">ji spółek z uzyskaną punktacją </w:t>
      </w:r>
      <w:r w:rsidRPr="00EA5B0B">
        <w:rPr>
          <w:rFonts w:ascii="Verdana" w:hAnsi="Verdana" w:cs="Arial"/>
          <w:sz w:val="20"/>
          <w:szCs w:val="20"/>
        </w:rPr>
        <w:t>w Raportach ESG Risk Rating</w:t>
      </w:r>
      <w:r w:rsidR="002E4E97">
        <w:rPr>
          <w:rFonts w:ascii="Verdana" w:hAnsi="Verdana" w:cs="Arial"/>
          <w:sz w:val="20"/>
          <w:szCs w:val="20"/>
        </w:rPr>
        <w:t xml:space="preserve"> </w:t>
      </w:r>
      <w:r w:rsidRPr="00EA5B0B">
        <w:rPr>
          <w:rFonts w:ascii="Verdana" w:hAnsi="Verdana" w:cs="Arial"/>
          <w:sz w:val="20"/>
          <w:szCs w:val="20"/>
        </w:rPr>
        <w:t>powyżej drugiego, a równą lub niższą od wartości trzeciego kwintyla</w:t>
      </w:r>
      <w:r w:rsidR="00355660">
        <w:rPr>
          <w:rFonts w:ascii="Verdana" w:hAnsi="Verdana" w:cs="Arial"/>
          <w:sz w:val="20"/>
          <w:szCs w:val="20"/>
        </w:rPr>
        <w:t>,</w:t>
      </w:r>
      <w:r w:rsidRPr="00EA5B0B">
        <w:rPr>
          <w:rFonts w:ascii="Verdana" w:hAnsi="Verdana" w:cs="Arial"/>
          <w:sz w:val="20"/>
          <w:szCs w:val="20"/>
        </w:rPr>
        <w:t xml:space="preserve"> jest ograniczany o 20%, </w:t>
      </w:r>
    </w:p>
    <w:p w14:paraId="2BCCC3E6" w14:textId="04C05CF3" w:rsidR="00EA5B0B" w:rsidRPr="00EA5B0B" w:rsidRDefault="00EA5B0B" w:rsidP="00EA5B0B">
      <w:pPr>
        <w:pStyle w:val="Tekstpodstawowy"/>
        <w:numPr>
          <w:ilvl w:val="4"/>
          <w:numId w:val="22"/>
        </w:numPr>
        <w:spacing w:line="360" w:lineRule="auto"/>
        <w:ind w:left="1134" w:hanging="283"/>
        <w:rPr>
          <w:rFonts w:ascii="Verdana" w:hAnsi="Verdana" w:cs="Arial"/>
          <w:sz w:val="20"/>
          <w:szCs w:val="20"/>
        </w:rPr>
      </w:pPr>
      <w:r w:rsidRPr="00EA5B0B">
        <w:rPr>
          <w:rFonts w:ascii="Verdana" w:hAnsi="Verdana" w:cs="Arial"/>
          <w:sz w:val="20"/>
          <w:szCs w:val="20"/>
        </w:rPr>
        <w:t xml:space="preserve">udział akcji spółek z uzyskaną </w:t>
      </w:r>
      <w:r w:rsidR="00355660" w:rsidRPr="00EA5B0B">
        <w:rPr>
          <w:rFonts w:ascii="Verdana" w:hAnsi="Verdana" w:cs="Arial"/>
          <w:sz w:val="20"/>
          <w:szCs w:val="20"/>
        </w:rPr>
        <w:t xml:space="preserve">punktacją </w:t>
      </w:r>
      <w:r w:rsidRPr="00EA5B0B">
        <w:rPr>
          <w:rFonts w:ascii="Verdana" w:hAnsi="Verdana" w:cs="Arial"/>
          <w:sz w:val="20"/>
          <w:szCs w:val="20"/>
        </w:rPr>
        <w:t>w Raportach ESG Risk Rating powyżej trzeciego, a równą lub niższą od wartości czwartego kwintyla</w:t>
      </w:r>
      <w:r w:rsidR="00355660">
        <w:rPr>
          <w:rFonts w:ascii="Verdana" w:hAnsi="Verdana" w:cs="Arial"/>
          <w:sz w:val="20"/>
          <w:szCs w:val="20"/>
        </w:rPr>
        <w:t>,</w:t>
      </w:r>
      <w:r w:rsidRPr="00EA5B0B">
        <w:rPr>
          <w:rFonts w:ascii="Verdana" w:hAnsi="Verdana" w:cs="Arial"/>
          <w:sz w:val="20"/>
          <w:szCs w:val="20"/>
        </w:rPr>
        <w:t xml:space="preserve"> jest ograniczany o 30%, </w:t>
      </w:r>
    </w:p>
    <w:p w14:paraId="69840F5E" w14:textId="2AD310CF" w:rsidR="00EA5B0B" w:rsidRPr="00EA5B0B" w:rsidRDefault="00EA5B0B" w:rsidP="002E4E97">
      <w:pPr>
        <w:pStyle w:val="Tekstpodstawowy"/>
        <w:numPr>
          <w:ilvl w:val="4"/>
          <w:numId w:val="22"/>
        </w:numPr>
        <w:spacing w:after="120" w:line="360" w:lineRule="auto"/>
        <w:ind w:left="1134" w:hanging="283"/>
        <w:rPr>
          <w:rFonts w:ascii="Verdana" w:hAnsi="Verdana" w:cs="Arial"/>
          <w:sz w:val="20"/>
          <w:szCs w:val="20"/>
        </w:rPr>
      </w:pPr>
      <w:r w:rsidRPr="00EA5B0B">
        <w:rPr>
          <w:rFonts w:ascii="Verdana" w:hAnsi="Verdana" w:cs="Arial"/>
          <w:sz w:val="20"/>
          <w:szCs w:val="20"/>
        </w:rPr>
        <w:t xml:space="preserve">udział akcji spółek z uzyskaną </w:t>
      </w:r>
      <w:r w:rsidR="00355660" w:rsidRPr="00EA5B0B">
        <w:rPr>
          <w:rFonts w:ascii="Verdana" w:hAnsi="Verdana" w:cs="Arial"/>
          <w:sz w:val="20"/>
          <w:szCs w:val="20"/>
        </w:rPr>
        <w:t xml:space="preserve">punktacją </w:t>
      </w:r>
      <w:r w:rsidRPr="00EA5B0B">
        <w:rPr>
          <w:rFonts w:ascii="Verdana" w:hAnsi="Verdana" w:cs="Arial"/>
          <w:sz w:val="20"/>
          <w:szCs w:val="20"/>
        </w:rPr>
        <w:t>w Raportach ESG Risk Rating powyżej czwartego kwintyla jest ograniczany o 40%</w:t>
      </w:r>
      <w:r w:rsidR="00C650A9">
        <w:rPr>
          <w:rFonts w:ascii="Verdana" w:hAnsi="Verdana" w:cs="Arial"/>
          <w:sz w:val="20"/>
          <w:szCs w:val="20"/>
        </w:rPr>
        <w:t>;</w:t>
      </w:r>
    </w:p>
    <w:p w14:paraId="0A4E6790" w14:textId="77777777" w:rsidR="00F41630" w:rsidRPr="008638D5" w:rsidRDefault="00790B49" w:rsidP="004B7AEB">
      <w:pPr>
        <w:pStyle w:val="Tekstpodstawowy"/>
        <w:numPr>
          <w:ilvl w:val="3"/>
          <w:numId w:val="8"/>
        </w:numPr>
        <w:spacing w:line="360" w:lineRule="auto"/>
        <w:ind w:left="851" w:hanging="425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w przypadku Rankingu Dobrych Praktyk</w:t>
      </w:r>
      <w:r w:rsidR="00F41630" w:rsidRPr="008638D5">
        <w:rPr>
          <w:rFonts w:ascii="Verdana" w:hAnsi="Verdana" w:cs="Arial"/>
          <w:sz w:val="20"/>
          <w:szCs w:val="20"/>
        </w:rPr>
        <w:t>:</w:t>
      </w:r>
    </w:p>
    <w:p w14:paraId="7CE7ADB1" w14:textId="1D836735" w:rsidR="00F41630" w:rsidRPr="008638D5" w:rsidRDefault="007F1FC6" w:rsidP="004B7AEB">
      <w:pPr>
        <w:pStyle w:val="Tekstpodstawowy"/>
        <w:numPr>
          <w:ilvl w:val="4"/>
          <w:numId w:val="19"/>
        </w:numPr>
        <w:spacing w:line="360" w:lineRule="auto"/>
        <w:ind w:left="1134" w:hanging="283"/>
        <w:rPr>
          <w:rFonts w:ascii="Verdana" w:hAnsi="Verdana" w:cs="Arial"/>
          <w:sz w:val="20"/>
          <w:szCs w:val="20"/>
        </w:rPr>
      </w:pPr>
      <w:r w:rsidRPr="00EA5B0B">
        <w:rPr>
          <w:rFonts w:ascii="Verdana" w:hAnsi="Verdana" w:cs="Arial"/>
          <w:sz w:val="20"/>
          <w:szCs w:val="20"/>
        </w:rPr>
        <w:t xml:space="preserve">udział akcji </w:t>
      </w:r>
      <w:r w:rsidR="00F41630" w:rsidRPr="008638D5">
        <w:rPr>
          <w:rFonts w:ascii="Verdana" w:hAnsi="Verdana" w:cs="Arial"/>
          <w:sz w:val="20"/>
          <w:szCs w:val="20"/>
        </w:rPr>
        <w:t>spół</w:t>
      </w:r>
      <w:r w:rsidR="00C650A9">
        <w:rPr>
          <w:rFonts w:ascii="Verdana" w:hAnsi="Verdana" w:cs="Arial"/>
          <w:sz w:val="20"/>
          <w:szCs w:val="20"/>
        </w:rPr>
        <w:t xml:space="preserve">ek </w:t>
      </w:r>
      <w:r w:rsidR="00F41630" w:rsidRPr="008638D5">
        <w:rPr>
          <w:rFonts w:ascii="Verdana" w:hAnsi="Verdana" w:cs="Arial"/>
          <w:sz w:val="20"/>
          <w:szCs w:val="20"/>
        </w:rPr>
        <w:t xml:space="preserve">z drugiej kategorii </w:t>
      </w:r>
      <w:r w:rsidR="008F140B" w:rsidRPr="00EA5B0B">
        <w:rPr>
          <w:rFonts w:ascii="Verdana" w:hAnsi="Verdana" w:cs="Arial"/>
          <w:sz w:val="20"/>
          <w:szCs w:val="20"/>
        </w:rPr>
        <w:t xml:space="preserve">jest ograniczany </w:t>
      </w:r>
      <w:r w:rsidR="00F41630" w:rsidRPr="008638D5">
        <w:rPr>
          <w:rFonts w:ascii="Verdana" w:hAnsi="Verdana" w:cs="Arial"/>
          <w:sz w:val="20"/>
          <w:szCs w:val="20"/>
        </w:rPr>
        <w:t xml:space="preserve">o 5%, </w:t>
      </w:r>
    </w:p>
    <w:p w14:paraId="1CC4FF92" w14:textId="77777777" w:rsidR="00FC0B98" w:rsidRDefault="008F140B" w:rsidP="00983E33">
      <w:pPr>
        <w:pStyle w:val="Tekstpodstawowy"/>
        <w:numPr>
          <w:ilvl w:val="4"/>
          <w:numId w:val="19"/>
        </w:numPr>
        <w:spacing w:after="120"/>
        <w:ind w:left="1135" w:hanging="284"/>
        <w:rPr>
          <w:rFonts w:ascii="Verdana" w:hAnsi="Verdana" w:cs="Arial"/>
          <w:sz w:val="20"/>
          <w:szCs w:val="20"/>
        </w:rPr>
      </w:pPr>
      <w:r w:rsidRPr="00EA5B0B">
        <w:rPr>
          <w:rFonts w:ascii="Verdana" w:hAnsi="Verdana" w:cs="Arial"/>
          <w:sz w:val="20"/>
          <w:szCs w:val="20"/>
        </w:rPr>
        <w:t xml:space="preserve">udział akcji </w:t>
      </w:r>
      <w:r w:rsidR="00F41630" w:rsidRPr="008638D5">
        <w:rPr>
          <w:rFonts w:ascii="Verdana" w:hAnsi="Verdana" w:cs="Arial"/>
          <w:sz w:val="20"/>
          <w:szCs w:val="20"/>
        </w:rPr>
        <w:t>spół</w:t>
      </w:r>
      <w:r w:rsidR="00C650A9">
        <w:rPr>
          <w:rFonts w:ascii="Verdana" w:hAnsi="Verdana" w:cs="Arial"/>
          <w:sz w:val="20"/>
          <w:szCs w:val="20"/>
        </w:rPr>
        <w:t xml:space="preserve">ek </w:t>
      </w:r>
      <w:r w:rsidR="00F41630" w:rsidRPr="008638D5">
        <w:rPr>
          <w:rFonts w:ascii="Verdana" w:hAnsi="Verdana" w:cs="Arial"/>
          <w:sz w:val="20"/>
          <w:szCs w:val="20"/>
        </w:rPr>
        <w:t xml:space="preserve">z trzeciej kategorii </w:t>
      </w:r>
      <w:r w:rsidRPr="00EA5B0B">
        <w:rPr>
          <w:rFonts w:ascii="Verdana" w:hAnsi="Verdana" w:cs="Arial"/>
          <w:sz w:val="20"/>
          <w:szCs w:val="20"/>
        </w:rPr>
        <w:t xml:space="preserve">jest ograniczany </w:t>
      </w:r>
      <w:r w:rsidR="00F41630" w:rsidRPr="008638D5">
        <w:rPr>
          <w:rFonts w:ascii="Verdana" w:hAnsi="Verdana" w:cs="Arial"/>
          <w:sz w:val="20"/>
          <w:szCs w:val="20"/>
        </w:rPr>
        <w:t>o 10%</w:t>
      </w:r>
      <w:r w:rsidR="00FC0B98">
        <w:rPr>
          <w:rFonts w:ascii="Verdana" w:hAnsi="Verdana" w:cs="Arial"/>
          <w:sz w:val="20"/>
          <w:szCs w:val="20"/>
        </w:rPr>
        <w:t>,</w:t>
      </w:r>
    </w:p>
    <w:p w14:paraId="5EFF49D9" w14:textId="1C15F1FD" w:rsidR="00F41630" w:rsidRPr="008638D5" w:rsidRDefault="00FC0B98" w:rsidP="00983E33">
      <w:pPr>
        <w:pStyle w:val="Tekstpodstawowy"/>
        <w:numPr>
          <w:ilvl w:val="4"/>
          <w:numId w:val="19"/>
        </w:numPr>
        <w:spacing w:after="120"/>
        <w:ind w:left="1135" w:hanging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udział akcji spółek z czwartej kategorii jest ograniczany o </w:t>
      </w:r>
      <w:r w:rsidR="00565EDF">
        <w:rPr>
          <w:rFonts w:ascii="Verdana" w:hAnsi="Verdana" w:cs="Arial"/>
          <w:sz w:val="20"/>
          <w:szCs w:val="20"/>
        </w:rPr>
        <w:t>15</w:t>
      </w:r>
      <w:r>
        <w:rPr>
          <w:rFonts w:ascii="Verdana" w:hAnsi="Verdana" w:cs="Arial"/>
          <w:sz w:val="20"/>
          <w:szCs w:val="20"/>
        </w:rPr>
        <w:t>%</w:t>
      </w:r>
      <w:r w:rsidR="00A12A28">
        <w:rPr>
          <w:rFonts w:ascii="Verdana" w:hAnsi="Verdana" w:cs="Arial"/>
          <w:sz w:val="20"/>
          <w:szCs w:val="20"/>
        </w:rPr>
        <w:t>.</w:t>
      </w:r>
    </w:p>
    <w:p w14:paraId="7F60280C" w14:textId="6461533C" w:rsidR="00C650A9" w:rsidRDefault="00D14DBE" w:rsidP="004B7AEB">
      <w:pPr>
        <w:pStyle w:val="Tekstpodstawowy"/>
        <w:numPr>
          <w:ilvl w:val="1"/>
          <w:numId w:val="8"/>
        </w:numPr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lastRenderedPageBreak/>
        <w:t xml:space="preserve">Udział akcji jednej spółki w portfelu indeksu </w:t>
      </w:r>
      <w:r w:rsidR="005B3E06" w:rsidRPr="008638D5">
        <w:rPr>
          <w:rFonts w:ascii="Verdana" w:hAnsi="Verdana" w:cs="Arial"/>
          <w:sz w:val="20"/>
          <w:szCs w:val="20"/>
        </w:rPr>
        <w:t xml:space="preserve">WIG-ESG </w:t>
      </w:r>
      <w:r w:rsidRPr="008638D5">
        <w:rPr>
          <w:rFonts w:ascii="Verdana" w:hAnsi="Verdana" w:cs="Arial"/>
          <w:sz w:val="20"/>
          <w:szCs w:val="20"/>
        </w:rPr>
        <w:t xml:space="preserve">jest </w:t>
      </w:r>
      <w:r w:rsidR="00E75BBF" w:rsidRPr="008638D5">
        <w:rPr>
          <w:rFonts w:ascii="Verdana" w:hAnsi="Verdana" w:cs="Arial"/>
          <w:sz w:val="20"/>
          <w:szCs w:val="20"/>
        </w:rPr>
        <w:t xml:space="preserve">dodatkowo </w:t>
      </w:r>
      <w:r w:rsidRPr="008638D5">
        <w:rPr>
          <w:rFonts w:ascii="Verdana" w:hAnsi="Verdana" w:cs="Arial"/>
          <w:sz w:val="20"/>
          <w:szCs w:val="20"/>
        </w:rPr>
        <w:t>ograniczany do 10%.</w:t>
      </w:r>
    </w:p>
    <w:p w14:paraId="02C0EF10" w14:textId="1FC90F64" w:rsidR="00D14DBE" w:rsidRPr="008638D5" w:rsidRDefault="00790B49" w:rsidP="004B7AEB">
      <w:pPr>
        <w:pStyle w:val="Tekstpodstawowy"/>
        <w:numPr>
          <w:ilvl w:val="1"/>
          <w:numId w:val="8"/>
        </w:numPr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Sumaryczny udział spółek, </w:t>
      </w:r>
      <w:r w:rsidR="00F41630" w:rsidRPr="008638D5">
        <w:rPr>
          <w:rFonts w:ascii="Verdana" w:hAnsi="Verdana" w:cs="Arial"/>
          <w:sz w:val="20"/>
          <w:szCs w:val="20"/>
        </w:rPr>
        <w:t xml:space="preserve">z </w:t>
      </w:r>
      <w:r w:rsidRPr="008638D5">
        <w:rPr>
          <w:rFonts w:ascii="Verdana" w:hAnsi="Verdana" w:cs="Arial"/>
          <w:sz w:val="20"/>
          <w:szCs w:val="20"/>
        </w:rPr>
        <w:t>których udział każdej przekracza 5%, jest ograniczany do 40%</w:t>
      </w:r>
      <w:r w:rsidR="00D14DBE" w:rsidRPr="008638D5">
        <w:rPr>
          <w:rFonts w:ascii="Verdana" w:hAnsi="Verdana" w:cs="Arial"/>
          <w:sz w:val="20"/>
          <w:szCs w:val="20"/>
        </w:rPr>
        <w:t xml:space="preserve">. </w:t>
      </w:r>
    </w:p>
    <w:p w14:paraId="3E9FFB80" w14:textId="7E38B135" w:rsidR="00D14DBE" w:rsidRPr="008638D5" w:rsidRDefault="00D14DBE" w:rsidP="004B7AEB">
      <w:pPr>
        <w:pStyle w:val="Tekstpodstawowy"/>
        <w:numPr>
          <w:ilvl w:val="1"/>
          <w:numId w:val="8"/>
        </w:numPr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Redukcja pakietu akcji spółki, której udział w indeksie </w:t>
      </w:r>
      <w:r w:rsidR="005B3E06" w:rsidRPr="008638D5">
        <w:rPr>
          <w:rFonts w:ascii="Verdana" w:hAnsi="Verdana" w:cs="Arial"/>
          <w:sz w:val="20"/>
          <w:szCs w:val="20"/>
        </w:rPr>
        <w:t xml:space="preserve">WIG-ESG </w:t>
      </w:r>
      <w:r w:rsidRPr="008638D5">
        <w:rPr>
          <w:rFonts w:ascii="Verdana" w:hAnsi="Verdana" w:cs="Arial"/>
          <w:sz w:val="20"/>
          <w:szCs w:val="20"/>
        </w:rPr>
        <w:t>przekracza wartość</w:t>
      </w:r>
      <w:r w:rsidR="002E4E97">
        <w:rPr>
          <w:rFonts w:ascii="Verdana" w:hAnsi="Verdana" w:cs="Arial"/>
          <w:sz w:val="20"/>
          <w:szCs w:val="20"/>
        </w:rPr>
        <w:t xml:space="preserve">, o której mowa w pkt </w:t>
      </w:r>
      <w:r w:rsidR="00C650A9">
        <w:rPr>
          <w:rFonts w:ascii="Verdana" w:hAnsi="Verdana" w:cs="Arial"/>
          <w:sz w:val="20"/>
          <w:szCs w:val="20"/>
        </w:rPr>
        <w:t>5</w:t>
      </w:r>
      <w:r w:rsidR="002E4E97">
        <w:rPr>
          <w:rFonts w:ascii="Verdana" w:hAnsi="Verdana" w:cs="Arial"/>
          <w:sz w:val="20"/>
          <w:szCs w:val="20"/>
        </w:rPr>
        <w:t xml:space="preserve">, </w:t>
      </w:r>
      <w:r w:rsidRPr="008638D5">
        <w:rPr>
          <w:rFonts w:ascii="Verdana" w:hAnsi="Verdana" w:cs="Arial"/>
          <w:sz w:val="20"/>
          <w:szCs w:val="20"/>
        </w:rPr>
        <w:t xml:space="preserve">jest dokonywana w ramach rewizji </w:t>
      </w:r>
      <w:r w:rsidR="00C420C0" w:rsidRPr="008638D5">
        <w:rPr>
          <w:rFonts w:ascii="Verdana" w:hAnsi="Verdana" w:cs="Arial"/>
          <w:sz w:val="20"/>
          <w:szCs w:val="20"/>
        </w:rPr>
        <w:t>rocznej</w:t>
      </w:r>
      <w:r w:rsidR="0041567C" w:rsidRPr="008638D5">
        <w:rPr>
          <w:rFonts w:ascii="Verdana" w:hAnsi="Verdana" w:cs="Arial"/>
          <w:sz w:val="20"/>
          <w:szCs w:val="20"/>
        </w:rPr>
        <w:t xml:space="preserve"> oraz korekt kwartalnych</w:t>
      </w:r>
      <w:r w:rsidRPr="008638D5">
        <w:rPr>
          <w:rFonts w:ascii="Verdana" w:hAnsi="Verdana" w:cs="Arial"/>
          <w:sz w:val="20"/>
          <w:szCs w:val="20"/>
        </w:rPr>
        <w:t>.</w:t>
      </w:r>
    </w:p>
    <w:p w14:paraId="1A802A4E" w14:textId="0FC00075" w:rsidR="00D14DBE" w:rsidRPr="008638D5" w:rsidRDefault="00D14DBE" w:rsidP="004B7AEB">
      <w:pPr>
        <w:pStyle w:val="Tekstpodstawowy"/>
        <w:numPr>
          <w:ilvl w:val="1"/>
          <w:numId w:val="8"/>
        </w:numPr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Przy ustalaniu udziałów w indeksie </w:t>
      </w:r>
      <w:r w:rsidR="005B3E06" w:rsidRPr="008638D5">
        <w:rPr>
          <w:rFonts w:ascii="Verdana" w:hAnsi="Verdana" w:cs="Arial"/>
          <w:sz w:val="20"/>
          <w:szCs w:val="20"/>
        </w:rPr>
        <w:t xml:space="preserve">WIG-ESG </w:t>
      </w:r>
      <w:r w:rsidRPr="008638D5">
        <w:rPr>
          <w:rFonts w:ascii="Verdana" w:hAnsi="Verdana" w:cs="Arial"/>
          <w:sz w:val="20"/>
          <w:szCs w:val="20"/>
        </w:rPr>
        <w:t>nie stosuje się ograniczeń ze</w:t>
      </w:r>
      <w:r w:rsidR="00A12A28">
        <w:rPr>
          <w:rFonts w:ascii="Verdana" w:hAnsi="Verdana" w:cs="Arial"/>
          <w:sz w:val="20"/>
          <w:szCs w:val="20"/>
        </w:rPr>
        <w:t> </w:t>
      </w:r>
      <w:r w:rsidRPr="008638D5">
        <w:rPr>
          <w:rFonts w:ascii="Verdana" w:hAnsi="Verdana" w:cs="Arial"/>
          <w:sz w:val="20"/>
          <w:szCs w:val="20"/>
        </w:rPr>
        <w:t xml:space="preserve">względu na sektor. </w:t>
      </w:r>
    </w:p>
    <w:p w14:paraId="41E3C3C8" w14:textId="3779D679" w:rsidR="00D14DBE" w:rsidRPr="008638D5" w:rsidRDefault="00D14DBE" w:rsidP="004B7AEB">
      <w:pPr>
        <w:pStyle w:val="Tekstpodstawowy"/>
        <w:numPr>
          <w:ilvl w:val="1"/>
          <w:numId w:val="8"/>
        </w:numPr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W przypadku </w:t>
      </w:r>
      <w:r w:rsidR="00F55162" w:rsidRPr="008638D5">
        <w:rPr>
          <w:rFonts w:ascii="Verdana" w:hAnsi="Verdana" w:cs="Arial"/>
          <w:sz w:val="20"/>
          <w:szCs w:val="20"/>
        </w:rPr>
        <w:t>zmiany</w:t>
      </w:r>
      <w:r w:rsidRPr="008638D5">
        <w:rPr>
          <w:rFonts w:ascii="Verdana" w:hAnsi="Verdana" w:cs="Arial"/>
          <w:sz w:val="20"/>
          <w:szCs w:val="20"/>
        </w:rPr>
        <w:t xml:space="preserve"> wartości nominalnej akcji dokonywana jest automatyczna zmiana wielkości pakietu i ceny akcji</w:t>
      </w:r>
      <w:r w:rsidR="008F140B">
        <w:rPr>
          <w:rFonts w:ascii="Verdana" w:hAnsi="Verdana" w:cs="Arial"/>
          <w:sz w:val="20"/>
          <w:szCs w:val="20"/>
        </w:rPr>
        <w:t xml:space="preserve"> danej spółki </w:t>
      </w:r>
      <w:r w:rsidR="008F140B" w:rsidRPr="008638D5">
        <w:rPr>
          <w:rFonts w:ascii="Verdana" w:hAnsi="Verdana" w:cs="Arial"/>
          <w:sz w:val="20"/>
          <w:szCs w:val="20"/>
        </w:rPr>
        <w:t>znajdując</w:t>
      </w:r>
      <w:r w:rsidR="00010D3E">
        <w:rPr>
          <w:rFonts w:ascii="Verdana" w:hAnsi="Verdana" w:cs="Arial"/>
          <w:sz w:val="20"/>
          <w:szCs w:val="20"/>
        </w:rPr>
        <w:t>ej</w:t>
      </w:r>
      <w:r w:rsidR="008F140B" w:rsidRPr="008638D5">
        <w:rPr>
          <w:rFonts w:ascii="Verdana" w:hAnsi="Verdana" w:cs="Arial"/>
          <w:sz w:val="20"/>
          <w:szCs w:val="20"/>
        </w:rPr>
        <w:t xml:space="preserve"> się w portfelu indeksu</w:t>
      </w:r>
      <w:r w:rsidR="005B3E06" w:rsidRPr="005B3E06">
        <w:rPr>
          <w:rFonts w:ascii="Verdana" w:hAnsi="Verdana" w:cs="Arial"/>
          <w:sz w:val="20"/>
          <w:szCs w:val="20"/>
        </w:rPr>
        <w:t xml:space="preserve"> </w:t>
      </w:r>
      <w:r w:rsidR="005B3E06" w:rsidRPr="008638D5">
        <w:rPr>
          <w:rFonts w:ascii="Verdana" w:hAnsi="Verdana" w:cs="Arial"/>
          <w:sz w:val="20"/>
          <w:szCs w:val="20"/>
        </w:rPr>
        <w:t>WIG-ESG</w:t>
      </w:r>
      <w:r w:rsidR="005B3E06">
        <w:rPr>
          <w:rFonts w:ascii="Verdana" w:hAnsi="Verdana" w:cs="Arial"/>
          <w:sz w:val="20"/>
          <w:szCs w:val="20"/>
        </w:rPr>
        <w:t xml:space="preserve"> </w:t>
      </w:r>
      <w:r w:rsidRPr="008638D5">
        <w:rPr>
          <w:rFonts w:ascii="Verdana" w:hAnsi="Verdana" w:cs="Arial"/>
          <w:sz w:val="20"/>
          <w:szCs w:val="20"/>
        </w:rPr>
        <w:t>.</w:t>
      </w:r>
    </w:p>
    <w:p w14:paraId="59DABA81" w14:textId="77777777" w:rsidR="00D14DBE" w:rsidRPr="008638D5" w:rsidRDefault="00D14DBE" w:rsidP="004B7AEB">
      <w:pPr>
        <w:pStyle w:val="Tekstpodstawowy"/>
        <w:spacing w:line="360" w:lineRule="auto"/>
        <w:rPr>
          <w:rFonts w:ascii="Verdana" w:hAnsi="Verdana" w:cs="Arial"/>
          <w:sz w:val="20"/>
          <w:szCs w:val="20"/>
        </w:rPr>
      </w:pPr>
    </w:p>
    <w:p w14:paraId="3731C174" w14:textId="77777777" w:rsidR="00D14DBE" w:rsidRPr="002E4E97" w:rsidRDefault="00D14DBE" w:rsidP="00442F4C">
      <w:pPr>
        <w:pStyle w:val="Nagwek4"/>
        <w:keepLines w:val="0"/>
        <w:numPr>
          <w:ilvl w:val="0"/>
          <w:numId w:val="8"/>
        </w:numPr>
        <w:spacing w:before="0" w:after="240" w:line="360" w:lineRule="auto"/>
        <w:ind w:left="426" w:hanging="426"/>
        <w:rPr>
          <w:rFonts w:ascii="Verdana" w:hAnsi="Verdana" w:cs="Arial"/>
          <w:i w:val="0"/>
          <w:color w:val="auto"/>
          <w:sz w:val="20"/>
          <w:szCs w:val="20"/>
        </w:rPr>
      </w:pPr>
      <w:r w:rsidRPr="002E4E97">
        <w:rPr>
          <w:rFonts w:ascii="Verdana" w:hAnsi="Verdana" w:cs="Arial"/>
          <w:i w:val="0"/>
          <w:color w:val="auto"/>
          <w:sz w:val="20"/>
          <w:szCs w:val="20"/>
        </w:rPr>
        <w:t>Zmiany okresowe i nadzwyczajne</w:t>
      </w:r>
    </w:p>
    <w:p w14:paraId="0AD749C6" w14:textId="5825A185" w:rsidR="00D73BC6" w:rsidRPr="008638D5" w:rsidRDefault="00D73BC6" w:rsidP="004B7AEB">
      <w:pPr>
        <w:pStyle w:val="Akapitzlist"/>
        <w:numPr>
          <w:ilvl w:val="1"/>
          <w:numId w:val="8"/>
        </w:numPr>
        <w:spacing w:after="0" w:line="360" w:lineRule="auto"/>
        <w:rPr>
          <w:rFonts w:ascii="Verdana" w:hAnsi="Verdana"/>
          <w:sz w:val="20"/>
          <w:szCs w:val="20"/>
          <w:lang w:eastAsia="pl-PL"/>
        </w:rPr>
      </w:pPr>
      <w:r w:rsidRPr="008638D5">
        <w:rPr>
          <w:rFonts w:ascii="Verdana" w:hAnsi="Verdana"/>
          <w:sz w:val="20"/>
          <w:szCs w:val="20"/>
          <w:lang w:eastAsia="pl-PL"/>
        </w:rPr>
        <w:t xml:space="preserve">Rewizja roczna portfela indeksu </w:t>
      </w:r>
      <w:r w:rsidR="005B3E06" w:rsidRPr="008638D5">
        <w:rPr>
          <w:rFonts w:ascii="Verdana" w:hAnsi="Verdana" w:cs="Arial"/>
          <w:sz w:val="20"/>
          <w:szCs w:val="20"/>
        </w:rPr>
        <w:t xml:space="preserve">WIG-ESG </w:t>
      </w:r>
      <w:r w:rsidRPr="008638D5">
        <w:rPr>
          <w:rFonts w:ascii="Verdana" w:hAnsi="Verdana"/>
          <w:sz w:val="20"/>
          <w:szCs w:val="20"/>
          <w:lang w:eastAsia="pl-PL"/>
        </w:rPr>
        <w:t xml:space="preserve">przeprowadzana jest po zamknięciu </w:t>
      </w:r>
      <w:r w:rsidR="002F4AF6" w:rsidRPr="008638D5">
        <w:rPr>
          <w:rFonts w:ascii="Verdana" w:hAnsi="Verdana"/>
          <w:sz w:val="20"/>
          <w:szCs w:val="20"/>
          <w:lang w:eastAsia="pl-PL"/>
        </w:rPr>
        <w:t xml:space="preserve">ostatniej </w:t>
      </w:r>
      <w:r w:rsidRPr="008638D5">
        <w:rPr>
          <w:rFonts w:ascii="Verdana" w:hAnsi="Verdana"/>
          <w:sz w:val="20"/>
          <w:szCs w:val="20"/>
          <w:lang w:eastAsia="pl-PL"/>
        </w:rPr>
        <w:t xml:space="preserve">sesji </w:t>
      </w:r>
      <w:r w:rsidR="002F4AF6" w:rsidRPr="008638D5">
        <w:rPr>
          <w:rFonts w:ascii="Verdana" w:hAnsi="Verdana"/>
          <w:sz w:val="20"/>
          <w:szCs w:val="20"/>
          <w:lang w:eastAsia="pl-PL"/>
        </w:rPr>
        <w:t>sierpnia</w:t>
      </w:r>
      <w:r w:rsidRPr="008638D5">
        <w:rPr>
          <w:rFonts w:ascii="Verdana" w:hAnsi="Verdana"/>
          <w:sz w:val="20"/>
          <w:szCs w:val="20"/>
          <w:lang w:eastAsia="pl-PL"/>
        </w:rPr>
        <w:t xml:space="preserve"> i polega na zmianie listy Uczestników </w:t>
      </w:r>
      <w:r w:rsidR="00442F4C">
        <w:rPr>
          <w:rFonts w:ascii="Verdana" w:hAnsi="Verdana"/>
          <w:sz w:val="20"/>
          <w:szCs w:val="20"/>
          <w:lang w:eastAsia="pl-PL"/>
        </w:rPr>
        <w:t>I</w:t>
      </w:r>
      <w:r w:rsidRPr="008638D5">
        <w:rPr>
          <w:rFonts w:ascii="Verdana" w:hAnsi="Verdana"/>
          <w:sz w:val="20"/>
          <w:szCs w:val="20"/>
          <w:lang w:eastAsia="pl-PL"/>
        </w:rPr>
        <w:t xml:space="preserve">ndeksu </w:t>
      </w:r>
      <w:r w:rsidR="00442F4C">
        <w:rPr>
          <w:rFonts w:ascii="Verdana" w:hAnsi="Verdana"/>
          <w:sz w:val="20"/>
          <w:szCs w:val="20"/>
          <w:lang w:eastAsia="pl-PL"/>
        </w:rPr>
        <w:t xml:space="preserve">WIG-ESG </w:t>
      </w:r>
      <w:r w:rsidRPr="008638D5">
        <w:rPr>
          <w:rFonts w:ascii="Verdana" w:hAnsi="Verdana"/>
          <w:sz w:val="20"/>
          <w:szCs w:val="20"/>
          <w:lang w:eastAsia="pl-PL"/>
        </w:rPr>
        <w:t xml:space="preserve">oraz aktualizacji ich pakietów według stanu na koniec </w:t>
      </w:r>
      <w:r w:rsidR="0082058B" w:rsidRPr="008638D5">
        <w:rPr>
          <w:rFonts w:ascii="Verdana" w:hAnsi="Verdana"/>
          <w:sz w:val="20"/>
          <w:szCs w:val="20"/>
          <w:lang w:eastAsia="pl-PL"/>
        </w:rPr>
        <w:t>lipca</w:t>
      </w:r>
      <w:r w:rsidRPr="008638D5">
        <w:rPr>
          <w:rFonts w:ascii="Verdana" w:hAnsi="Verdana"/>
          <w:sz w:val="20"/>
          <w:szCs w:val="20"/>
          <w:lang w:eastAsia="pl-PL"/>
        </w:rPr>
        <w:t>.</w:t>
      </w:r>
    </w:p>
    <w:p w14:paraId="0035E11D" w14:textId="53DE49D7" w:rsidR="00D73BC6" w:rsidRPr="008638D5" w:rsidRDefault="00B415F8" w:rsidP="004B7AEB">
      <w:pPr>
        <w:pStyle w:val="Akapitzlist"/>
        <w:numPr>
          <w:ilvl w:val="1"/>
          <w:numId w:val="8"/>
        </w:numPr>
        <w:spacing w:after="0" w:line="360" w:lineRule="auto"/>
        <w:rPr>
          <w:rFonts w:ascii="Verdana" w:hAnsi="Verdana"/>
          <w:sz w:val="20"/>
          <w:szCs w:val="20"/>
          <w:lang w:eastAsia="pl-PL"/>
        </w:rPr>
      </w:pPr>
      <w:r w:rsidRPr="008638D5">
        <w:rPr>
          <w:rFonts w:ascii="Verdana" w:hAnsi="Verdana"/>
          <w:sz w:val="20"/>
          <w:szCs w:val="20"/>
          <w:lang w:eastAsia="pl-PL"/>
        </w:rPr>
        <w:t xml:space="preserve">Rewizji </w:t>
      </w:r>
      <w:r w:rsidR="00D73BC6" w:rsidRPr="008638D5">
        <w:rPr>
          <w:rFonts w:ascii="Verdana" w:hAnsi="Verdana"/>
          <w:sz w:val="20"/>
          <w:szCs w:val="20"/>
          <w:lang w:eastAsia="pl-PL"/>
        </w:rPr>
        <w:t xml:space="preserve">dokonuje się na podstawie </w:t>
      </w:r>
      <w:r w:rsidR="004B7AEB" w:rsidRPr="008638D5">
        <w:rPr>
          <w:rFonts w:ascii="Verdana" w:hAnsi="Verdana"/>
          <w:sz w:val="20"/>
          <w:szCs w:val="20"/>
          <w:lang w:eastAsia="pl-PL"/>
        </w:rPr>
        <w:t>Rankingu ESG i Rankingu Dobrych Praktyk</w:t>
      </w:r>
      <w:r w:rsidR="00355660">
        <w:rPr>
          <w:rFonts w:ascii="Verdana" w:hAnsi="Verdana"/>
          <w:sz w:val="20"/>
          <w:szCs w:val="20"/>
          <w:lang w:eastAsia="pl-PL"/>
        </w:rPr>
        <w:t>,</w:t>
      </w:r>
      <w:r w:rsidR="00D73BC6" w:rsidRPr="008638D5">
        <w:rPr>
          <w:rFonts w:ascii="Verdana" w:hAnsi="Verdana"/>
          <w:sz w:val="20"/>
          <w:szCs w:val="20"/>
          <w:lang w:eastAsia="pl-PL"/>
        </w:rPr>
        <w:t xml:space="preserve"> </w:t>
      </w:r>
      <w:r w:rsidR="00C650A9">
        <w:rPr>
          <w:rFonts w:ascii="Verdana" w:hAnsi="Verdana"/>
          <w:sz w:val="20"/>
          <w:szCs w:val="20"/>
          <w:lang w:eastAsia="pl-PL"/>
        </w:rPr>
        <w:br/>
      </w:r>
      <w:r w:rsidR="00D73BC6" w:rsidRPr="008638D5">
        <w:rPr>
          <w:rFonts w:ascii="Verdana" w:hAnsi="Verdana"/>
          <w:sz w:val="20"/>
          <w:szCs w:val="20"/>
          <w:lang w:eastAsia="pl-PL"/>
        </w:rPr>
        <w:t>z uwzględnieniem kryteriów selekcji i zasad konstrukcji indeksu</w:t>
      </w:r>
      <w:r w:rsidR="005B3E06" w:rsidRPr="005B3E06">
        <w:rPr>
          <w:rFonts w:ascii="Verdana" w:hAnsi="Verdana" w:cs="Arial"/>
          <w:sz w:val="20"/>
          <w:szCs w:val="20"/>
        </w:rPr>
        <w:t xml:space="preserve"> </w:t>
      </w:r>
      <w:r w:rsidR="005B3E06" w:rsidRPr="008638D5">
        <w:rPr>
          <w:rFonts w:ascii="Verdana" w:hAnsi="Verdana" w:cs="Arial"/>
          <w:sz w:val="20"/>
          <w:szCs w:val="20"/>
        </w:rPr>
        <w:t>WIG-ESG</w:t>
      </w:r>
      <w:r w:rsidR="00D73BC6" w:rsidRPr="008638D5">
        <w:rPr>
          <w:rFonts w:ascii="Verdana" w:hAnsi="Verdana"/>
          <w:sz w:val="20"/>
          <w:szCs w:val="20"/>
          <w:lang w:eastAsia="pl-PL"/>
        </w:rPr>
        <w:t>.</w:t>
      </w:r>
    </w:p>
    <w:p w14:paraId="2E09C125" w14:textId="5FF3408D" w:rsidR="00D14DBE" w:rsidRPr="008638D5" w:rsidRDefault="00D73BC6" w:rsidP="004B7AEB">
      <w:pPr>
        <w:pStyle w:val="Akapitzlist"/>
        <w:numPr>
          <w:ilvl w:val="1"/>
          <w:numId w:val="8"/>
        </w:numPr>
        <w:spacing w:after="0" w:line="360" w:lineRule="auto"/>
        <w:rPr>
          <w:rFonts w:ascii="Verdana" w:hAnsi="Verdana"/>
          <w:sz w:val="20"/>
          <w:szCs w:val="20"/>
          <w:lang w:eastAsia="pl-PL"/>
        </w:rPr>
      </w:pPr>
      <w:r w:rsidRPr="008638D5">
        <w:rPr>
          <w:rFonts w:ascii="Verdana" w:hAnsi="Verdana"/>
          <w:sz w:val="20"/>
          <w:szCs w:val="20"/>
          <w:lang w:eastAsia="pl-PL"/>
        </w:rPr>
        <w:t xml:space="preserve">Informacje o rewizji rocznej podawane są </w:t>
      </w:r>
      <w:r w:rsidR="00B415F8" w:rsidRPr="008638D5">
        <w:rPr>
          <w:rFonts w:ascii="Verdana" w:hAnsi="Verdana"/>
          <w:sz w:val="20"/>
          <w:szCs w:val="20"/>
          <w:lang w:eastAsia="pl-PL"/>
        </w:rPr>
        <w:t xml:space="preserve">do publicznej wiadomości </w:t>
      </w:r>
      <w:r w:rsidRPr="008638D5">
        <w:rPr>
          <w:rFonts w:ascii="Verdana" w:hAnsi="Verdana"/>
          <w:sz w:val="20"/>
          <w:szCs w:val="20"/>
          <w:lang w:eastAsia="pl-PL"/>
        </w:rPr>
        <w:t xml:space="preserve">co najmniej </w:t>
      </w:r>
      <w:r w:rsidR="00C650A9">
        <w:rPr>
          <w:rFonts w:ascii="Verdana" w:hAnsi="Verdana"/>
          <w:sz w:val="20"/>
          <w:szCs w:val="20"/>
          <w:lang w:eastAsia="pl-PL"/>
        </w:rPr>
        <w:t xml:space="preserve">na </w:t>
      </w:r>
      <w:r w:rsidR="00D14DBE" w:rsidRPr="008638D5">
        <w:rPr>
          <w:rFonts w:ascii="Verdana" w:hAnsi="Verdana" w:cs="Arial"/>
          <w:sz w:val="20"/>
          <w:szCs w:val="20"/>
        </w:rPr>
        <w:t>tydzień przed ich przeprowadzeniem.</w:t>
      </w:r>
    </w:p>
    <w:p w14:paraId="47437758" w14:textId="5A587A0F" w:rsidR="00D73BC6" w:rsidRPr="008638D5" w:rsidRDefault="00D73BC6" w:rsidP="004B7AEB">
      <w:pPr>
        <w:pStyle w:val="Akapitzlist"/>
        <w:numPr>
          <w:ilvl w:val="1"/>
          <w:numId w:val="8"/>
        </w:numPr>
        <w:spacing w:after="0" w:line="360" w:lineRule="auto"/>
        <w:rPr>
          <w:rFonts w:ascii="Verdana" w:hAnsi="Verdana"/>
          <w:sz w:val="20"/>
          <w:szCs w:val="20"/>
          <w:lang w:eastAsia="pl-PL"/>
        </w:rPr>
      </w:pPr>
      <w:r w:rsidRPr="008638D5">
        <w:rPr>
          <w:rFonts w:ascii="Verdana" w:hAnsi="Verdana" w:cs="Arial"/>
          <w:sz w:val="20"/>
          <w:szCs w:val="20"/>
        </w:rPr>
        <w:t xml:space="preserve">Korekta kwartalna listy Uczestników </w:t>
      </w:r>
      <w:r w:rsidR="00442F4C">
        <w:rPr>
          <w:rFonts w:ascii="Verdana" w:hAnsi="Verdana" w:cs="Arial"/>
          <w:sz w:val="20"/>
          <w:szCs w:val="20"/>
        </w:rPr>
        <w:t>I</w:t>
      </w:r>
      <w:r w:rsidRPr="008638D5">
        <w:rPr>
          <w:rFonts w:ascii="Verdana" w:hAnsi="Verdana" w:cs="Arial"/>
          <w:sz w:val="20"/>
          <w:szCs w:val="20"/>
        </w:rPr>
        <w:t xml:space="preserve">ndeksu </w:t>
      </w:r>
      <w:r w:rsidR="00442F4C">
        <w:rPr>
          <w:rFonts w:ascii="Verdana" w:hAnsi="Verdana"/>
          <w:sz w:val="20"/>
          <w:szCs w:val="20"/>
          <w:lang w:eastAsia="pl-PL"/>
        </w:rPr>
        <w:t xml:space="preserve">WIG-ESG </w:t>
      </w:r>
      <w:r w:rsidRPr="008638D5">
        <w:rPr>
          <w:rFonts w:ascii="Verdana" w:hAnsi="Verdana" w:cs="Arial"/>
          <w:sz w:val="20"/>
          <w:szCs w:val="20"/>
        </w:rPr>
        <w:t xml:space="preserve">przeprowadzana jest po zamknięciu </w:t>
      </w:r>
      <w:r w:rsidR="0082058B" w:rsidRPr="008638D5">
        <w:rPr>
          <w:rFonts w:ascii="Verdana" w:hAnsi="Verdana" w:cs="Arial"/>
          <w:sz w:val="20"/>
          <w:szCs w:val="20"/>
        </w:rPr>
        <w:t xml:space="preserve">ostatniej </w:t>
      </w:r>
      <w:r w:rsidRPr="008638D5">
        <w:rPr>
          <w:rFonts w:ascii="Verdana" w:hAnsi="Verdana" w:cs="Arial"/>
          <w:sz w:val="20"/>
          <w:szCs w:val="20"/>
        </w:rPr>
        <w:t xml:space="preserve">sesji </w:t>
      </w:r>
      <w:r w:rsidR="00A353DD" w:rsidRPr="008638D5">
        <w:rPr>
          <w:rFonts w:ascii="Verdana" w:hAnsi="Verdana" w:cs="Arial"/>
          <w:sz w:val="20"/>
          <w:szCs w:val="20"/>
        </w:rPr>
        <w:t>lutego</w:t>
      </w:r>
      <w:r w:rsidR="0082058B" w:rsidRPr="008638D5">
        <w:rPr>
          <w:rFonts w:ascii="Verdana" w:hAnsi="Verdana" w:cs="Arial"/>
          <w:sz w:val="20"/>
          <w:szCs w:val="20"/>
        </w:rPr>
        <w:t xml:space="preserve">, </w:t>
      </w:r>
      <w:r w:rsidR="00A353DD" w:rsidRPr="008638D5">
        <w:rPr>
          <w:rFonts w:ascii="Verdana" w:hAnsi="Verdana" w:cs="Arial"/>
          <w:sz w:val="20"/>
          <w:szCs w:val="20"/>
        </w:rPr>
        <w:t>maja</w:t>
      </w:r>
      <w:r w:rsidR="0082058B" w:rsidRPr="008638D5">
        <w:rPr>
          <w:rFonts w:ascii="Verdana" w:hAnsi="Verdana" w:cs="Arial"/>
          <w:sz w:val="20"/>
          <w:szCs w:val="20"/>
        </w:rPr>
        <w:t xml:space="preserve"> oraz </w:t>
      </w:r>
      <w:r w:rsidR="00A353DD" w:rsidRPr="008638D5">
        <w:rPr>
          <w:rFonts w:ascii="Verdana" w:hAnsi="Verdana" w:cs="Arial"/>
          <w:sz w:val="20"/>
          <w:szCs w:val="20"/>
        </w:rPr>
        <w:t>listopada</w:t>
      </w:r>
      <w:r w:rsidRPr="008638D5">
        <w:rPr>
          <w:rFonts w:ascii="Verdana" w:hAnsi="Verdana" w:cs="Arial"/>
          <w:sz w:val="20"/>
          <w:szCs w:val="20"/>
        </w:rPr>
        <w:t xml:space="preserve"> i polega na aktualizacji ich pakietów według stanu odpowiednio na koniec </w:t>
      </w:r>
      <w:r w:rsidR="00A353DD" w:rsidRPr="008638D5">
        <w:rPr>
          <w:rFonts w:ascii="Verdana" w:hAnsi="Verdana" w:cs="Arial"/>
          <w:sz w:val="20"/>
          <w:szCs w:val="20"/>
        </w:rPr>
        <w:t>stycznia</w:t>
      </w:r>
      <w:r w:rsidRPr="008638D5">
        <w:rPr>
          <w:rFonts w:ascii="Verdana" w:hAnsi="Verdana" w:cs="Arial"/>
          <w:sz w:val="20"/>
          <w:szCs w:val="20"/>
        </w:rPr>
        <w:t xml:space="preserve">, </w:t>
      </w:r>
      <w:r w:rsidR="00A353DD" w:rsidRPr="008638D5">
        <w:rPr>
          <w:rFonts w:ascii="Verdana" w:hAnsi="Verdana" w:cs="Arial"/>
          <w:sz w:val="20"/>
          <w:szCs w:val="20"/>
        </w:rPr>
        <w:t>kwietnia</w:t>
      </w:r>
      <w:r w:rsidRPr="008638D5">
        <w:rPr>
          <w:rFonts w:ascii="Verdana" w:hAnsi="Verdana" w:cs="Arial"/>
          <w:sz w:val="20"/>
          <w:szCs w:val="20"/>
        </w:rPr>
        <w:t xml:space="preserve"> i </w:t>
      </w:r>
      <w:r w:rsidR="00A353DD" w:rsidRPr="008638D5">
        <w:rPr>
          <w:rFonts w:ascii="Verdana" w:hAnsi="Verdana" w:cs="Arial"/>
          <w:sz w:val="20"/>
          <w:szCs w:val="20"/>
        </w:rPr>
        <w:t>października</w:t>
      </w:r>
      <w:r w:rsidRPr="008638D5">
        <w:rPr>
          <w:rFonts w:ascii="Verdana" w:hAnsi="Verdana" w:cs="Arial"/>
          <w:sz w:val="20"/>
          <w:szCs w:val="20"/>
        </w:rPr>
        <w:t xml:space="preserve">. </w:t>
      </w:r>
    </w:p>
    <w:p w14:paraId="0246371A" w14:textId="5200E6E1" w:rsidR="00D73BC6" w:rsidRPr="008638D5" w:rsidRDefault="00D73BC6" w:rsidP="004B7AEB">
      <w:pPr>
        <w:pStyle w:val="Akapitzlist"/>
        <w:numPr>
          <w:ilvl w:val="1"/>
          <w:numId w:val="8"/>
        </w:numPr>
        <w:spacing w:after="0" w:line="360" w:lineRule="auto"/>
        <w:rPr>
          <w:rFonts w:ascii="Verdana" w:hAnsi="Verdana"/>
          <w:sz w:val="20"/>
          <w:szCs w:val="20"/>
          <w:lang w:eastAsia="pl-PL"/>
        </w:rPr>
      </w:pPr>
      <w:r w:rsidRPr="008638D5">
        <w:rPr>
          <w:rFonts w:ascii="Verdana" w:hAnsi="Verdana" w:cs="Arial"/>
          <w:sz w:val="20"/>
          <w:szCs w:val="20"/>
        </w:rPr>
        <w:t xml:space="preserve">Informacje o korekcie kwartalnej podawane są </w:t>
      </w:r>
      <w:r w:rsidR="00442F4C">
        <w:rPr>
          <w:rFonts w:ascii="Verdana" w:hAnsi="Verdana" w:cs="Arial"/>
          <w:sz w:val="20"/>
          <w:szCs w:val="20"/>
        </w:rPr>
        <w:t>do wi</w:t>
      </w:r>
      <w:r w:rsidR="00355660">
        <w:rPr>
          <w:rFonts w:ascii="Verdana" w:hAnsi="Verdana" w:cs="Arial"/>
          <w:sz w:val="20"/>
          <w:szCs w:val="20"/>
        </w:rPr>
        <w:t>a</w:t>
      </w:r>
      <w:r w:rsidR="00A12A28">
        <w:rPr>
          <w:rFonts w:ascii="Verdana" w:hAnsi="Verdana" w:cs="Arial"/>
          <w:sz w:val="20"/>
          <w:szCs w:val="20"/>
        </w:rPr>
        <w:t xml:space="preserve">domości publicznej </w:t>
      </w:r>
      <w:r w:rsidRPr="008638D5">
        <w:rPr>
          <w:rFonts w:ascii="Verdana" w:hAnsi="Verdana" w:cs="Arial"/>
          <w:sz w:val="20"/>
          <w:szCs w:val="20"/>
        </w:rPr>
        <w:t>co</w:t>
      </w:r>
      <w:r w:rsidR="00A12A28">
        <w:rPr>
          <w:rFonts w:ascii="Verdana" w:hAnsi="Verdana" w:cs="Arial"/>
          <w:sz w:val="20"/>
          <w:szCs w:val="20"/>
        </w:rPr>
        <w:t> </w:t>
      </w:r>
      <w:r w:rsidRPr="008638D5">
        <w:rPr>
          <w:rFonts w:ascii="Verdana" w:hAnsi="Verdana" w:cs="Arial"/>
          <w:sz w:val="20"/>
          <w:szCs w:val="20"/>
        </w:rPr>
        <w:t xml:space="preserve">najmniej </w:t>
      </w:r>
      <w:r w:rsidR="00442F4C">
        <w:rPr>
          <w:rFonts w:ascii="Verdana" w:hAnsi="Verdana" w:cs="Arial"/>
          <w:sz w:val="20"/>
          <w:szCs w:val="20"/>
        </w:rPr>
        <w:t xml:space="preserve">na </w:t>
      </w:r>
      <w:r w:rsidRPr="008638D5">
        <w:rPr>
          <w:rFonts w:ascii="Verdana" w:hAnsi="Verdana" w:cs="Arial"/>
          <w:sz w:val="20"/>
          <w:szCs w:val="20"/>
        </w:rPr>
        <w:t>tydzień przed jej przeprowadzeniem.</w:t>
      </w:r>
    </w:p>
    <w:p w14:paraId="0B20DC86" w14:textId="77777777" w:rsidR="004B629C" w:rsidRPr="00714120" w:rsidRDefault="006E4B19" w:rsidP="008B03E9">
      <w:pPr>
        <w:pStyle w:val="Akapitzlist"/>
        <w:numPr>
          <w:ilvl w:val="1"/>
          <w:numId w:val="8"/>
        </w:numPr>
        <w:spacing w:after="0" w:line="360" w:lineRule="auto"/>
        <w:rPr>
          <w:rFonts w:ascii="Verdana" w:hAnsi="Verdana"/>
          <w:sz w:val="20"/>
          <w:szCs w:val="20"/>
          <w:lang w:eastAsia="pl-PL"/>
        </w:rPr>
      </w:pPr>
      <w:r w:rsidRPr="008638D5">
        <w:rPr>
          <w:rFonts w:ascii="Verdana" w:hAnsi="Verdana" w:cs="Arial"/>
          <w:sz w:val="20"/>
          <w:szCs w:val="20"/>
        </w:rPr>
        <w:t>Korekt</w:t>
      </w:r>
      <w:r w:rsidR="00442F4C">
        <w:rPr>
          <w:rFonts w:ascii="Verdana" w:hAnsi="Verdana" w:cs="Arial"/>
          <w:sz w:val="20"/>
          <w:szCs w:val="20"/>
        </w:rPr>
        <w:t>a</w:t>
      </w:r>
      <w:r w:rsidR="00D14DBE" w:rsidRPr="008638D5">
        <w:rPr>
          <w:rFonts w:ascii="Verdana" w:hAnsi="Verdana" w:cs="Arial"/>
          <w:sz w:val="20"/>
          <w:szCs w:val="20"/>
        </w:rPr>
        <w:t xml:space="preserve"> nadzwyczajna polega na usunięciu</w:t>
      </w:r>
      <w:r w:rsidR="00F55162" w:rsidRPr="008638D5">
        <w:rPr>
          <w:rFonts w:ascii="Verdana" w:hAnsi="Verdana" w:cs="Arial"/>
          <w:sz w:val="20"/>
          <w:szCs w:val="20"/>
        </w:rPr>
        <w:t xml:space="preserve"> akcji spółki z listy U</w:t>
      </w:r>
      <w:r w:rsidR="00D14DBE" w:rsidRPr="008638D5">
        <w:rPr>
          <w:rFonts w:ascii="Verdana" w:hAnsi="Verdana" w:cs="Arial"/>
          <w:sz w:val="20"/>
          <w:szCs w:val="20"/>
        </w:rPr>
        <w:t xml:space="preserve">czestników </w:t>
      </w:r>
      <w:r w:rsidR="00442F4C">
        <w:rPr>
          <w:rFonts w:ascii="Verdana" w:hAnsi="Verdana" w:cs="Arial"/>
          <w:sz w:val="20"/>
          <w:szCs w:val="20"/>
        </w:rPr>
        <w:t>I</w:t>
      </w:r>
      <w:r w:rsidR="00D14DBE" w:rsidRPr="008638D5">
        <w:rPr>
          <w:rFonts w:ascii="Verdana" w:hAnsi="Verdana" w:cs="Arial"/>
          <w:sz w:val="20"/>
          <w:szCs w:val="20"/>
        </w:rPr>
        <w:t xml:space="preserve">ndeksu </w:t>
      </w:r>
      <w:r w:rsidR="00442F4C">
        <w:rPr>
          <w:rFonts w:ascii="Verdana" w:hAnsi="Verdana"/>
          <w:sz w:val="20"/>
          <w:szCs w:val="20"/>
          <w:lang w:eastAsia="pl-PL"/>
        </w:rPr>
        <w:t>WIG-ESG</w:t>
      </w:r>
      <w:r w:rsidR="00442F4C">
        <w:rPr>
          <w:rFonts w:ascii="Verdana" w:hAnsi="Verdana" w:cs="Arial"/>
          <w:sz w:val="20"/>
          <w:szCs w:val="20"/>
        </w:rPr>
        <w:t xml:space="preserve"> </w:t>
      </w:r>
      <w:r w:rsidR="00D14DBE" w:rsidRPr="008638D5">
        <w:rPr>
          <w:rFonts w:ascii="Verdana" w:hAnsi="Verdana" w:cs="Arial"/>
          <w:sz w:val="20"/>
          <w:szCs w:val="20"/>
        </w:rPr>
        <w:t>i jest przeprowadzana w przypadku</w:t>
      </w:r>
      <w:r w:rsidR="004B629C">
        <w:rPr>
          <w:rFonts w:ascii="Verdana" w:hAnsi="Verdana" w:cs="Arial"/>
          <w:sz w:val="20"/>
          <w:szCs w:val="20"/>
        </w:rPr>
        <w:t>:</w:t>
      </w:r>
    </w:p>
    <w:p w14:paraId="7A3E96FE" w14:textId="77777777" w:rsidR="004B629C" w:rsidRPr="00714120" w:rsidRDefault="00D14DBE" w:rsidP="00714120">
      <w:pPr>
        <w:pStyle w:val="Akapitzlist"/>
        <w:numPr>
          <w:ilvl w:val="0"/>
          <w:numId w:val="26"/>
        </w:numPr>
        <w:spacing w:after="0" w:line="360" w:lineRule="auto"/>
        <w:rPr>
          <w:rFonts w:ascii="Verdana" w:hAnsi="Verdana"/>
          <w:sz w:val="20"/>
          <w:szCs w:val="20"/>
          <w:lang w:eastAsia="pl-PL"/>
        </w:rPr>
      </w:pPr>
      <w:r w:rsidRPr="008638D5">
        <w:rPr>
          <w:rFonts w:ascii="Verdana" w:hAnsi="Verdana" w:cs="Arial"/>
          <w:sz w:val="20"/>
          <w:szCs w:val="20"/>
        </w:rPr>
        <w:t xml:space="preserve"> wykluczenia akcji </w:t>
      </w:r>
      <w:r w:rsidR="008B03E9">
        <w:rPr>
          <w:rFonts w:ascii="Verdana" w:hAnsi="Verdana" w:cs="Arial"/>
          <w:sz w:val="20"/>
          <w:szCs w:val="20"/>
        </w:rPr>
        <w:t xml:space="preserve">danej spółki </w:t>
      </w:r>
      <w:r w:rsidRPr="008638D5">
        <w:rPr>
          <w:rFonts w:ascii="Verdana" w:hAnsi="Verdana" w:cs="Arial"/>
          <w:sz w:val="20"/>
          <w:szCs w:val="20"/>
        </w:rPr>
        <w:t xml:space="preserve">z obrotu giełdowego, </w:t>
      </w:r>
    </w:p>
    <w:p w14:paraId="19DA2DF8" w14:textId="1FF6192E" w:rsidR="00F467A0" w:rsidRPr="00714120" w:rsidRDefault="00D14DBE" w:rsidP="005B3E06">
      <w:pPr>
        <w:pStyle w:val="Akapitzlist"/>
        <w:numPr>
          <w:ilvl w:val="0"/>
          <w:numId w:val="26"/>
        </w:numPr>
        <w:spacing w:after="0" w:line="360" w:lineRule="auto"/>
        <w:ind w:left="851" w:hanging="491"/>
        <w:rPr>
          <w:rFonts w:ascii="Verdana" w:hAnsi="Verdana"/>
          <w:sz w:val="20"/>
          <w:szCs w:val="20"/>
          <w:lang w:eastAsia="pl-PL"/>
        </w:rPr>
      </w:pPr>
      <w:r w:rsidRPr="008638D5">
        <w:rPr>
          <w:rFonts w:ascii="Verdana" w:hAnsi="Verdana" w:cs="Arial"/>
          <w:sz w:val="20"/>
          <w:szCs w:val="20"/>
        </w:rPr>
        <w:t>niespełniania kryteriów indeksu</w:t>
      </w:r>
      <w:r w:rsidR="005B3E06">
        <w:rPr>
          <w:rFonts w:ascii="Verdana" w:hAnsi="Verdana" w:cs="Arial"/>
          <w:sz w:val="20"/>
          <w:szCs w:val="20"/>
        </w:rPr>
        <w:t xml:space="preserve"> </w:t>
      </w:r>
      <w:r w:rsidR="005B3E06" w:rsidRPr="008638D5">
        <w:rPr>
          <w:rFonts w:ascii="Verdana" w:hAnsi="Verdana" w:cs="Arial"/>
          <w:sz w:val="20"/>
          <w:szCs w:val="20"/>
        </w:rPr>
        <w:t>WIG-ESG</w:t>
      </w:r>
      <w:r w:rsidR="00F467A0">
        <w:rPr>
          <w:rFonts w:ascii="Verdana" w:hAnsi="Verdana" w:cs="Arial"/>
          <w:sz w:val="20"/>
          <w:szCs w:val="20"/>
        </w:rPr>
        <w:t>.</w:t>
      </w:r>
    </w:p>
    <w:p w14:paraId="2B694A95" w14:textId="125C3701" w:rsidR="004B629C" w:rsidRPr="00714120" w:rsidRDefault="003002C3" w:rsidP="00714120">
      <w:pPr>
        <w:pStyle w:val="Akapitzlist"/>
        <w:numPr>
          <w:ilvl w:val="1"/>
          <w:numId w:val="8"/>
        </w:numPr>
        <w:spacing w:after="0" w:line="360" w:lineRule="auto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C46770">
        <w:rPr>
          <w:rFonts w:ascii="Verdana" w:hAnsi="Verdana" w:cs="Arial"/>
          <w:sz w:val="20"/>
          <w:szCs w:val="20"/>
        </w:rPr>
        <w:t>Korekta nadzwyczajna może zostać przeprowadzona również w przypadku:</w:t>
      </w:r>
    </w:p>
    <w:p w14:paraId="30AE1F2D" w14:textId="0BF1737A" w:rsidR="004B629C" w:rsidRPr="00714120" w:rsidRDefault="005B3E06" w:rsidP="005B3E06">
      <w:pPr>
        <w:pStyle w:val="Akapitzlist"/>
        <w:tabs>
          <w:tab w:val="left" w:pos="851"/>
        </w:tabs>
        <w:spacing w:after="0" w:line="360" w:lineRule="auto"/>
        <w:ind w:left="851" w:hanging="425"/>
        <w:rPr>
          <w:rStyle w:val="Odwoaniedokomentarza"/>
          <w:rFonts w:ascii="Verdana" w:hAnsi="Verdana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</w:rPr>
        <w:t xml:space="preserve">a.  </w:t>
      </w:r>
      <w:r>
        <w:rPr>
          <w:rFonts w:ascii="Verdana" w:hAnsi="Verdana" w:cs="Arial"/>
          <w:sz w:val="20"/>
          <w:szCs w:val="20"/>
        </w:rPr>
        <w:tab/>
      </w:r>
      <w:r w:rsidR="003002C3" w:rsidRPr="003002C3">
        <w:rPr>
          <w:rFonts w:ascii="Verdana" w:hAnsi="Verdana" w:cs="Arial"/>
          <w:sz w:val="20"/>
          <w:szCs w:val="20"/>
        </w:rPr>
        <w:t>wystąpienia</w:t>
      </w:r>
      <w:r w:rsidR="003002C3">
        <w:rPr>
          <w:rFonts w:ascii="Verdana" w:hAnsi="Verdana" w:cs="Arial"/>
          <w:sz w:val="20"/>
          <w:szCs w:val="20"/>
        </w:rPr>
        <w:t xml:space="preserve"> w spółce</w:t>
      </w:r>
      <w:r w:rsidR="003002C3" w:rsidRPr="003002C3">
        <w:rPr>
          <w:rFonts w:ascii="Verdana" w:hAnsi="Verdana" w:cs="Arial"/>
          <w:sz w:val="20"/>
          <w:szCs w:val="20"/>
        </w:rPr>
        <w:t xml:space="preserve"> istotnych zdarzeń</w:t>
      </w:r>
      <w:r w:rsidR="003002C3">
        <w:rPr>
          <w:rFonts w:ascii="Verdana" w:hAnsi="Verdana" w:cs="Arial"/>
          <w:sz w:val="20"/>
          <w:szCs w:val="20"/>
        </w:rPr>
        <w:t>, które negatywnie wpływają na</w:t>
      </w:r>
      <w:r w:rsidR="00A12A28">
        <w:rPr>
          <w:rFonts w:ascii="Verdana" w:hAnsi="Verdana" w:cs="Arial"/>
          <w:sz w:val="20"/>
          <w:szCs w:val="20"/>
        </w:rPr>
        <w:t> </w:t>
      </w:r>
      <w:r w:rsidR="003002C3">
        <w:rPr>
          <w:rFonts w:ascii="Verdana" w:hAnsi="Verdana" w:cs="Arial"/>
          <w:sz w:val="20"/>
          <w:szCs w:val="20"/>
        </w:rPr>
        <w:t xml:space="preserve">ocenę </w:t>
      </w:r>
      <w:r w:rsidR="008B03E9" w:rsidRPr="000B328C">
        <w:rPr>
          <w:rFonts w:ascii="Verdana" w:hAnsi="Verdana" w:cs="Arial"/>
          <w:sz w:val="20"/>
          <w:szCs w:val="20"/>
        </w:rPr>
        <w:t xml:space="preserve">stosowania zasad </w:t>
      </w:r>
      <w:r w:rsidR="003002C3" w:rsidRPr="000B328C">
        <w:rPr>
          <w:rFonts w:ascii="Verdana" w:hAnsi="Verdana" w:cs="Arial"/>
          <w:sz w:val="20"/>
          <w:szCs w:val="20"/>
        </w:rPr>
        <w:t>ładu korporacyjnego</w:t>
      </w:r>
      <w:r w:rsidR="003002C3" w:rsidRPr="003002C3">
        <w:rPr>
          <w:rFonts w:ascii="Verdana" w:hAnsi="Verdana" w:cs="Arial"/>
          <w:sz w:val="20"/>
          <w:szCs w:val="20"/>
        </w:rPr>
        <w:t xml:space="preserve"> w </w:t>
      </w:r>
      <w:r w:rsidR="008B03E9" w:rsidRPr="003002C3">
        <w:rPr>
          <w:rFonts w:ascii="Verdana" w:hAnsi="Verdana" w:cs="Arial"/>
          <w:sz w:val="20"/>
          <w:szCs w:val="20"/>
        </w:rPr>
        <w:t>spółce</w:t>
      </w:r>
      <w:r w:rsidR="008B03E9">
        <w:rPr>
          <w:rFonts w:ascii="Verdana" w:hAnsi="Verdana" w:cs="Arial"/>
          <w:sz w:val="20"/>
          <w:szCs w:val="20"/>
        </w:rPr>
        <w:t>,</w:t>
      </w:r>
      <w:r w:rsidR="008B03E9">
        <w:rPr>
          <w:rStyle w:val="Odwoaniedokomentarza"/>
        </w:rPr>
        <w:t xml:space="preserve"> </w:t>
      </w:r>
    </w:p>
    <w:p w14:paraId="1C28D486" w14:textId="62F74A77" w:rsidR="008B03E9" w:rsidRPr="008B03E9" w:rsidRDefault="005B3E06" w:rsidP="005B3E06">
      <w:pPr>
        <w:pStyle w:val="Akapitzlist"/>
        <w:tabs>
          <w:tab w:val="left" w:pos="709"/>
        </w:tabs>
        <w:spacing w:after="0" w:line="360" w:lineRule="auto"/>
        <w:ind w:left="851" w:hanging="425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</w:rPr>
        <w:t xml:space="preserve">b.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4B629C">
        <w:rPr>
          <w:rFonts w:ascii="Verdana" w:hAnsi="Verdana" w:cs="Arial"/>
          <w:sz w:val="20"/>
          <w:szCs w:val="20"/>
        </w:rPr>
        <w:t xml:space="preserve">wystąpienia </w:t>
      </w:r>
      <w:r w:rsidR="00D14DBE" w:rsidRPr="008638D5">
        <w:rPr>
          <w:rFonts w:ascii="Verdana" w:hAnsi="Verdana" w:cs="Arial"/>
          <w:sz w:val="20"/>
          <w:szCs w:val="20"/>
        </w:rPr>
        <w:t>innych istotnych przesłanek zagrażających bezpieczeństwu obrotu i interesowi jego uczestników.</w:t>
      </w:r>
    </w:p>
    <w:p w14:paraId="0CE8B46A" w14:textId="0D0F39CB" w:rsidR="00D14DBE" w:rsidRPr="008B03E9" w:rsidRDefault="00D14DBE" w:rsidP="00F450D5">
      <w:pPr>
        <w:pStyle w:val="Akapitzlist"/>
        <w:numPr>
          <w:ilvl w:val="1"/>
          <w:numId w:val="8"/>
        </w:numPr>
        <w:spacing w:after="120" w:line="360" w:lineRule="auto"/>
        <w:rPr>
          <w:rFonts w:ascii="Verdana" w:hAnsi="Verdana"/>
          <w:sz w:val="20"/>
          <w:szCs w:val="20"/>
          <w:lang w:eastAsia="pl-PL"/>
        </w:rPr>
      </w:pPr>
      <w:r w:rsidRPr="008B03E9">
        <w:rPr>
          <w:rFonts w:ascii="Verdana" w:hAnsi="Verdana" w:cs="Arial"/>
          <w:sz w:val="20"/>
          <w:szCs w:val="20"/>
        </w:rPr>
        <w:lastRenderedPageBreak/>
        <w:t>Informacja o korekcie nadzwyczajnej podawana jest do publicznej wiadomości niezwłocznie przed jej przeprowadzeniem.</w:t>
      </w:r>
    </w:p>
    <w:p w14:paraId="565E0D8A" w14:textId="5CF1B985" w:rsidR="00D14DBE" w:rsidRDefault="00D14DBE" w:rsidP="004B7AEB">
      <w:pPr>
        <w:pStyle w:val="Nagwek3"/>
        <w:keepLines w:val="0"/>
        <w:spacing w:before="0" w:line="360" w:lineRule="auto"/>
        <w:rPr>
          <w:rFonts w:ascii="Verdana" w:hAnsi="Verdana" w:cs="Arial"/>
          <w:b w:val="0"/>
          <w:bCs w:val="0"/>
          <w:color w:val="auto"/>
          <w:sz w:val="20"/>
          <w:szCs w:val="20"/>
        </w:rPr>
      </w:pPr>
    </w:p>
    <w:p w14:paraId="713A4876" w14:textId="77777777" w:rsidR="00D14DBE" w:rsidRPr="00442F4C" w:rsidRDefault="00D14DBE" w:rsidP="00442F4C">
      <w:pPr>
        <w:pStyle w:val="Nagwek4"/>
        <w:keepLines w:val="0"/>
        <w:numPr>
          <w:ilvl w:val="0"/>
          <w:numId w:val="8"/>
        </w:numPr>
        <w:spacing w:before="0" w:after="240" w:line="360" w:lineRule="auto"/>
        <w:ind w:left="426" w:hanging="426"/>
        <w:rPr>
          <w:rFonts w:ascii="Verdana" w:hAnsi="Verdana" w:cs="Arial"/>
          <w:i w:val="0"/>
          <w:color w:val="auto"/>
          <w:sz w:val="20"/>
          <w:szCs w:val="20"/>
        </w:rPr>
      </w:pPr>
      <w:r w:rsidRPr="008638D5">
        <w:rPr>
          <w:rFonts w:ascii="Verdana" w:hAnsi="Verdana" w:cs="Arial"/>
          <w:b w:val="0"/>
          <w:i w:val="0"/>
          <w:color w:val="auto"/>
          <w:sz w:val="20"/>
          <w:szCs w:val="20"/>
        </w:rPr>
        <w:t xml:space="preserve"> </w:t>
      </w:r>
      <w:r w:rsidRPr="00442F4C">
        <w:rPr>
          <w:rFonts w:ascii="Verdana" w:hAnsi="Verdana" w:cs="Arial"/>
          <w:i w:val="0"/>
          <w:color w:val="auto"/>
          <w:sz w:val="20"/>
          <w:szCs w:val="20"/>
        </w:rPr>
        <w:t xml:space="preserve">Dane bazowe </w:t>
      </w:r>
    </w:p>
    <w:p w14:paraId="63FAD532" w14:textId="3F30BB20" w:rsidR="00D14DBE" w:rsidRPr="008638D5" w:rsidRDefault="00D14DBE" w:rsidP="004B7AEB">
      <w:pPr>
        <w:pStyle w:val="Tekstpodstawowy"/>
        <w:numPr>
          <w:ilvl w:val="1"/>
          <w:numId w:val="8"/>
        </w:numPr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Dat</w:t>
      </w:r>
      <w:r w:rsidR="00F450D5">
        <w:rPr>
          <w:rFonts w:ascii="Verdana" w:hAnsi="Verdana" w:cs="Arial"/>
          <w:sz w:val="20"/>
          <w:szCs w:val="20"/>
        </w:rPr>
        <w:t>ą</w:t>
      </w:r>
      <w:r w:rsidRPr="008638D5">
        <w:rPr>
          <w:rFonts w:ascii="Verdana" w:hAnsi="Verdana" w:cs="Arial"/>
          <w:sz w:val="20"/>
          <w:szCs w:val="20"/>
        </w:rPr>
        <w:t xml:space="preserve"> bazow</w:t>
      </w:r>
      <w:r w:rsidR="00F450D5">
        <w:rPr>
          <w:rFonts w:ascii="Verdana" w:hAnsi="Verdana" w:cs="Arial"/>
          <w:sz w:val="20"/>
          <w:szCs w:val="20"/>
        </w:rPr>
        <w:t>ą</w:t>
      </w:r>
      <w:r w:rsidRPr="008638D5">
        <w:rPr>
          <w:rFonts w:ascii="Verdana" w:hAnsi="Verdana" w:cs="Arial"/>
          <w:sz w:val="20"/>
          <w:szCs w:val="20"/>
        </w:rPr>
        <w:t xml:space="preserve"> </w:t>
      </w:r>
      <w:r w:rsidR="00344F95" w:rsidRPr="008638D5">
        <w:rPr>
          <w:rFonts w:ascii="Verdana" w:hAnsi="Verdana" w:cs="Arial"/>
          <w:sz w:val="20"/>
          <w:szCs w:val="20"/>
        </w:rPr>
        <w:t xml:space="preserve">indeksu </w:t>
      </w:r>
      <w:r w:rsidR="005B3E06" w:rsidRPr="008638D5">
        <w:rPr>
          <w:rFonts w:ascii="Verdana" w:hAnsi="Verdana" w:cs="Arial"/>
          <w:sz w:val="20"/>
          <w:szCs w:val="20"/>
        </w:rPr>
        <w:t xml:space="preserve">WIG-ESG </w:t>
      </w:r>
      <w:r w:rsidR="00F450D5">
        <w:rPr>
          <w:rFonts w:ascii="Verdana" w:hAnsi="Verdana" w:cs="Arial"/>
          <w:sz w:val="20"/>
          <w:szCs w:val="20"/>
        </w:rPr>
        <w:t xml:space="preserve">jest </w:t>
      </w:r>
      <w:r w:rsidR="00344F95" w:rsidRPr="008638D5">
        <w:rPr>
          <w:rFonts w:ascii="Verdana" w:hAnsi="Verdana" w:cs="Arial"/>
          <w:sz w:val="20"/>
          <w:szCs w:val="20"/>
        </w:rPr>
        <w:t>31 grudnia 201</w:t>
      </w:r>
      <w:r w:rsidRPr="008638D5">
        <w:rPr>
          <w:rFonts w:ascii="Verdana" w:hAnsi="Verdana" w:cs="Arial"/>
          <w:sz w:val="20"/>
          <w:szCs w:val="20"/>
        </w:rPr>
        <w:t xml:space="preserve">8 r. </w:t>
      </w:r>
    </w:p>
    <w:p w14:paraId="28D1C298" w14:textId="4B87840E" w:rsidR="00D14DBE" w:rsidRPr="008638D5" w:rsidRDefault="00D14DBE" w:rsidP="00F450D5">
      <w:pPr>
        <w:pStyle w:val="Tekstpodstawowy"/>
        <w:numPr>
          <w:ilvl w:val="1"/>
          <w:numId w:val="8"/>
        </w:numPr>
        <w:spacing w:after="120"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Wartość bazowa </w:t>
      </w:r>
      <w:r w:rsidR="00F450D5">
        <w:rPr>
          <w:rFonts w:ascii="Verdana" w:hAnsi="Verdana" w:cs="Arial"/>
          <w:sz w:val="20"/>
          <w:szCs w:val="20"/>
        </w:rPr>
        <w:t xml:space="preserve">indeksu </w:t>
      </w:r>
      <w:r w:rsidR="005B3E06" w:rsidRPr="008638D5">
        <w:rPr>
          <w:rFonts w:ascii="Verdana" w:hAnsi="Verdana" w:cs="Arial"/>
          <w:sz w:val="20"/>
          <w:szCs w:val="20"/>
        </w:rPr>
        <w:t xml:space="preserve">WIG-ESG </w:t>
      </w:r>
      <w:r w:rsidRPr="008638D5">
        <w:rPr>
          <w:rFonts w:ascii="Verdana" w:hAnsi="Verdana" w:cs="Arial"/>
          <w:sz w:val="20"/>
          <w:szCs w:val="20"/>
        </w:rPr>
        <w:t>wynosi 1</w:t>
      </w:r>
      <w:r w:rsidR="001308D6">
        <w:rPr>
          <w:rFonts w:ascii="Verdana" w:hAnsi="Verdana" w:cs="Arial"/>
          <w:sz w:val="20"/>
          <w:szCs w:val="20"/>
        </w:rPr>
        <w:t xml:space="preserve">0 </w:t>
      </w:r>
      <w:r w:rsidRPr="008638D5">
        <w:rPr>
          <w:rFonts w:ascii="Verdana" w:hAnsi="Verdana" w:cs="Arial"/>
          <w:sz w:val="20"/>
          <w:szCs w:val="20"/>
        </w:rPr>
        <w:t>000</w:t>
      </w:r>
      <w:r w:rsidR="003C6C14">
        <w:rPr>
          <w:rFonts w:ascii="Verdana" w:hAnsi="Verdana" w:cs="Arial"/>
          <w:sz w:val="20"/>
          <w:szCs w:val="20"/>
        </w:rPr>
        <w:t>,00</w:t>
      </w:r>
      <w:r w:rsidRPr="008638D5">
        <w:rPr>
          <w:rFonts w:ascii="Verdana" w:hAnsi="Verdana" w:cs="Arial"/>
          <w:sz w:val="20"/>
          <w:szCs w:val="20"/>
        </w:rPr>
        <w:t xml:space="preserve"> p</w:t>
      </w:r>
      <w:r w:rsidR="008B03E9">
        <w:rPr>
          <w:rFonts w:ascii="Verdana" w:hAnsi="Verdana" w:cs="Arial"/>
          <w:sz w:val="20"/>
          <w:szCs w:val="20"/>
        </w:rPr>
        <w:t>unktów.</w:t>
      </w:r>
    </w:p>
    <w:p w14:paraId="12231C7C" w14:textId="21B391C0" w:rsidR="00D14DBE" w:rsidRDefault="00D14DBE" w:rsidP="004B7AEB">
      <w:pPr>
        <w:pStyle w:val="Tekstpodstawowy"/>
        <w:spacing w:line="360" w:lineRule="auto"/>
        <w:rPr>
          <w:rFonts w:ascii="Verdana" w:hAnsi="Verdana" w:cs="Arial"/>
          <w:sz w:val="20"/>
          <w:szCs w:val="20"/>
        </w:rPr>
      </w:pPr>
    </w:p>
    <w:p w14:paraId="68087DA9" w14:textId="77777777" w:rsidR="00D14DBE" w:rsidRPr="00442F4C" w:rsidRDefault="00D14DBE" w:rsidP="004B7AEB">
      <w:pPr>
        <w:pStyle w:val="Nagwek4"/>
        <w:keepLines w:val="0"/>
        <w:numPr>
          <w:ilvl w:val="0"/>
          <w:numId w:val="8"/>
        </w:numPr>
        <w:spacing w:before="0" w:line="360" w:lineRule="auto"/>
        <w:ind w:left="426" w:hanging="426"/>
        <w:rPr>
          <w:rFonts w:ascii="Verdana" w:hAnsi="Verdana" w:cs="Arial"/>
          <w:i w:val="0"/>
          <w:color w:val="auto"/>
          <w:sz w:val="20"/>
          <w:szCs w:val="20"/>
        </w:rPr>
      </w:pPr>
      <w:r w:rsidRPr="00442F4C">
        <w:rPr>
          <w:rFonts w:ascii="Verdana" w:hAnsi="Verdana" w:cs="Arial"/>
          <w:i w:val="0"/>
          <w:color w:val="auto"/>
          <w:sz w:val="20"/>
          <w:szCs w:val="20"/>
        </w:rPr>
        <w:t>Obliczanie i podawanie do publicznej wiadomości indeksu</w:t>
      </w:r>
    </w:p>
    <w:p w14:paraId="28C9BA93" w14:textId="77777777" w:rsidR="00D14DBE" w:rsidRPr="008638D5" w:rsidRDefault="00D14DBE" w:rsidP="004B7AEB">
      <w:pPr>
        <w:spacing w:after="0" w:line="360" w:lineRule="auto"/>
        <w:ind w:left="1080"/>
        <w:rPr>
          <w:rFonts w:ascii="Verdana" w:hAnsi="Verdana" w:cs="Arial"/>
          <w:sz w:val="20"/>
          <w:szCs w:val="20"/>
        </w:rPr>
      </w:pPr>
    </w:p>
    <w:p w14:paraId="5E076EBF" w14:textId="28E1E73A" w:rsidR="00D14DBE" w:rsidRDefault="00D14DBE" w:rsidP="004B7AEB">
      <w:pPr>
        <w:numPr>
          <w:ilvl w:val="1"/>
          <w:numId w:val="8"/>
        </w:numPr>
        <w:spacing w:after="0"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Formuła obliczania indeksu </w:t>
      </w:r>
      <w:r w:rsidR="005B3E06" w:rsidRPr="008638D5">
        <w:rPr>
          <w:rFonts w:ascii="Verdana" w:hAnsi="Verdana" w:cs="Arial"/>
          <w:sz w:val="20"/>
          <w:szCs w:val="20"/>
        </w:rPr>
        <w:t xml:space="preserve">WIG-ESG </w:t>
      </w:r>
      <w:r w:rsidRPr="008638D5">
        <w:rPr>
          <w:rFonts w:ascii="Verdana" w:hAnsi="Verdana" w:cs="Arial"/>
          <w:sz w:val="20"/>
          <w:szCs w:val="20"/>
        </w:rPr>
        <w:t>jest określona następująco:</w:t>
      </w:r>
    </w:p>
    <w:p w14:paraId="5E306AF4" w14:textId="77777777" w:rsidR="008638D5" w:rsidRPr="008638D5" w:rsidRDefault="008638D5" w:rsidP="008638D5">
      <w:pPr>
        <w:spacing w:after="0"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4A2CF4A" wp14:editId="54F73794">
                <wp:simplePos x="0" y="0"/>
                <wp:positionH relativeFrom="column">
                  <wp:posOffset>2529103</wp:posOffset>
                </wp:positionH>
                <wp:positionV relativeFrom="paragraph">
                  <wp:posOffset>182880</wp:posOffset>
                </wp:positionV>
                <wp:extent cx="822960" cy="274320"/>
                <wp:effectExtent l="1905" t="0" r="381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02FCF" w14:textId="77777777" w:rsidR="00260D06" w:rsidRDefault="00260D06" w:rsidP="00C51521">
                            <w:pPr>
                              <w:jc w:val="center"/>
                            </w:pPr>
                            <w:r>
                              <w:t>M 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2CF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9.15pt;margin-top:14.4pt;width:64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tRgQIAAA4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" o:allowincell="f" stroked="f">
                <v:textbox>
                  <w:txbxContent>
                    <w:p w14:paraId="3CB02FCF" w14:textId="77777777" w:rsidR="00260D06" w:rsidRDefault="00260D06" w:rsidP="00C51521">
                      <w:pPr>
                        <w:jc w:val="center"/>
                      </w:pPr>
                      <w:r>
                        <w:t>M (t)</w:t>
                      </w:r>
                    </w:p>
                  </w:txbxContent>
                </v:textbox>
              </v:shape>
            </w:pict>
          </mc:Fallback>
        </mc:AlternateContent>
      </w:r>
    </w:p>
    <w:p w14:paraId="0283FD1E" w14:textId="77777777" w:rsidR="00D14DBE" w:rsidRPr="008638D5" w:rsidRDefault="00D14DBE" w:rsidP="004B7AEB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   </w:t>
      </w:r>
    </w:p>
    <w:p w14:paraId="1C921FA6" w14:textId="77777777" w:rsidR="00D14DBE" w:rsidRPr="008638D5" w:rsidRDefault="001A3D6A" w:rsidP="004B7AEB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B1BFF9C" wp14:editId="6C29CB27">
                <wp:simplePos x="0" y="0"/>
                <wp:positionH relativeFrom="column">
                  <wp:posOffset>2412594</wp:posOffset>
                </wp:positionH>
                <wp:positionV relativeFrom="paragraph">
                  <wp:posOffset>194310</wp:posOffset>
                </wp:positionV>
                <wp:extent cx="1005840" cy="274320"/>
                <wp:effectExtent l="0" t="0" r="381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31B2D" w14:textId="77777777" w:rsidR="00260D06" w:rsidRDefault="00260D06" w:rsidP="008638D5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M (0) * K 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FF9C" id="Text Box 2" o:spid="_x0000_s1027" type="#_x0000_t202" style="position:absolute;left:0;text-align:left;margin-left:189.95pt;margin-top:15.3pt;width:79.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" o:allowincell="f" stroked="f">
                <v:textbox>
                  <w:txbxContent>
                    <w:p w14:paraId="47231B2D" w14:textId="77777777" w:rsidR="00260D06" w:rsidRDefault="00260D06" w:rsidP="008638D5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M (0) * K (t)</w:t>
                      </w:r>
                    </w:p>
                  </w:txbxContent>
                </v:textbox>
              </v:shape>
            </w:pict>
          </mc:Fallback>
        </mc:AlternateContent>
      </w:r>
      <w:r w:rsidR="00C31E18" w:rsidRPr="008638D5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637BF3" wp14:editId="7596D897">
                <wp:simplePos x="0" y="0"/>
                <wp:positionH relativeFrom="column">
                  <wp:posOffset>2368771</wp:posOffset>
                </wp:positionH>
                <wp:positionV relativeFrom="paragraph">
                  <wp:posOffset>81860</wp:posOffset>
                </wp:positionV>
                <wp:extent cx="1188720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06233D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pt,6.45pt" to="280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H/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stnsMQ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" o:allowincell="f"/>
            </w:pict>
          </mc:Fallback>
        </mc:AlternateContent>
      </w:r>
      <w:r w:rsidR="00D14DBE" w:rsidRPr="008638D5">
        <w:rPr>
          <w:rFonts w:ascii="Verdana" w:hAnsi="Verdana" w:cs="Arial"/>
          <w:sz w:val="20"/>
          <w:szCs w:val="20"/>
        </w:rPr>
        <w:t xml:space="preserve">                 </w:t>
      </w:r>
      <w:r w:rsidR="00CA5640" w:rsidRPr="008638D5">
        <w:rPr>
          <w:rFonts w:ascii="Verdana" w:hAnsi="Verdana" w:cs="Arial"/>
          <w:b/>
          <w:sz w:val="20"/>
          <w:szCs w:val="20"/>
        </w:rPr>
        <w:t>WIG-ESG</w:t>
      </w:r>
      <w:r w:rsidR="00D14DBE" w:rsidRPr="008638D5">
        <w:rPr>
          <w:rFonts w:ascii="Verdana" w:hAnsi="Verdana" w:cs="Arial"/>
          <w:b/>
          <w:sz w:val="20"/>
          <w:szCs w:val="20"/>
        </w:rPr>
        <w:t xml:space="preserve"> (t)</w:t>
      </w:r>
      <w:r w:rsidR="00D14DBE" w:rsidRPr="008638D5">
        <w:rPr>
          <w:rFonts w:ascii="Verdana" w:hAnsi="Verdana" w:cs="Arial"/>
          <w:sz w:val="20"/>
          <w:szCs w:val="20"/>
        </w:rPr>
        <w:t xml:space="preserve"> =                   </w:t>
      </w:r>
    </w:p>
    <w:p w14:paraId="2CD4DC2E" w14:textId="77777777" w:rsidR="00D14DBE" w:rsidRPr="008638D5" w:rsidRDefault="00D14DBE" w:rsidP="004B7AEB">
      <w:pPr>
        <w:spacing w:after="0"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gdzie:</w:t>
      </w:r>
    </w:p>
    <w:p w14:paraId="7D0F9604" w14:textId="7FC70B73" w:rsidR="00D14DBE" w:rsidRPr="00442F4C" w:rsidRDefault="00D14DBE" w:rsidP="00997A98">
      <w:pPr>
        <w:pStyle w:val="Nagwek4"/>
        <w:tabs>
          <w:tab w:val="left" w:pos="1276"/>
        </w:tabs>
        <w:spacing w:before="0" w:line="360" w:lineRule="auto"/>
        <w:ind w:left="426"/>
        <w:rPr>
          <w:rFonts w:ascii="Verdana" w:hAnsi="Verdana" w:cs="Arial"/>
          <w:b w:val="0"/>
          <w:i w:val="0"/>
          <w:color w:val="auto"/>
          <w:sz w:val="20"/>
          <w:szCs w:val="20"/>
        </w:rPr>
      </w:pPr>
      <w:r w:rsidRPr="008638D5">
        <w:rPr>
          <w:rFonts w:ascii="Verdana" w:hAnsi="Verdana" w:cs="Arial"/>
          <w:b w:val="0"/>
          <w:i w:val="0"/>
          <w:color w:val="auto"/>
          <w:sz w:val="20"/>
          <w:szCs w:val="20"/>
        </w:rPr>
        <w:t xml:space="preserve">M (t) – </w:t>
      </w:r>
      <w:r w:rsidR="00997A98">
        <w:rPr>
          <w:rFonts w:ascii="Verdana" w:hAnsi="Verdana" w:cs="Arial"/>
          <w:b w:val="0"/>
          <w:i w:val="0"/>
          <w:color w:val="auto"/>
          <w:sz w:val="20"/>
          <w:szCs w:val="20"/>
        </w:rPr>
        <w:t xml:space="preserve"> </w:t>
      </w:r>
      <w:r w:rsidRPr="008638D5">
        <w:rPr>
          <w:rFonts w:ascii="Verdana" w:hAnsi="Verdana" w:cs="Arial"/>
          <w:b w:val="0"/>
          <w:i w:val="0"/>
          <w:color w:val="auto"/>
          <w:sz w:val="20"/>
          <w:szCs w:val="20"/>
        </w:rPr>
        <w:t xml:space="preserve">kapitalizacja portfela indeksu </w:t>
      </w:r>
      <w:r w:rsidR="00997A98" w:rsidRPr="00A12A28">
        <w:rPr>
          <w:rFonts w:ascii="Verdana" w:hAnsi="Verdana" w:cs="Arial"/>
          <w:b w:val="0"/>
          <w:i w:val="0"/>
          <w:color w:val="auto"/>
          <w:sz w:val="20"/>
          <w:szCs w:val="20"/>
        </w:rPr>
        <w:t>WIG-ESG</w:t>
      </w:r>
      <w:r w:rsidR="00997A98" w:rsidRPr="00A12A28">
        <w:rPr>
          <w:rFonts w:ascii="Verdana" w:hAnsi="Verdana" w:cs="Arial"/>
          <w:color w:val="auto"/>
          <w:sz w:val="20"/>
          <w:szCs w:val="20"/>
        </w:rPr>
        <w:t xml:space="preserve"> </w:t>
      </w:r>
      <w:r w:rsidRPr="008638D5">
        <w:rPr>
          <w:rFonts w:ascii="Verdana" w:hAnsi="Verdana" w:cs="Arial"/>
          <w:b w:val="0"/>
          <w:i w:val="0"/>
          <w:color w:val="auto"/>
          <w:sz w:val="20"/>
          <w:szCs w:val="20"/>
        </w:rPr>
        <w:t>na sesji „t”</w:t>
      </w:r>
    </w:p>
    <w:p w14:paraId="59FB1854" w14:textId="38F61623" w:rsidR="00D14DBE" w:rsidRPr="008638D5" w:rsidRDefault="00D14DBE" w:rsidP="00997A98">
      <w:pPr>
        <w:spacing w:after="0" w:line="360" w:lineRule="auto"/>
        <w:ind w:left="1276" w:hanging="850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M (0) – kapitalizacja portfela indeksu </w:t>
      </w:r>
      <w:r w:rsidR="00997A98" w:rsidRPr="008638D5">
        <w:rPr>
          <w:rFonts w:ascii="Verdana" w:hAnsi="Verdana" w:cs="Arial"/>
          <w:sz w:val="20"/>
          <w:szCs w:val="20"/>
        </w:rPr>
        <w:t xml:space="preserve">WIG-ESG </w:t>
      </w:r>
      <w:r w:rsidRPr="008638D5">
        <w:rPr>
          <w:rFonts w:ascii="Verdana" w:hAnsi="Verdana" w:cs="Arial"/>
          <w:sz w:val="20"/>
          <w:szCs w:val="20"/>
        </w:rPr>
        <w:t>w dniu bazowym</w:t>
      </w:r>
      <w:r w:rsidR="008B03E9">
        <w:rPr>
          <w:rFonts w:ascii="Verdana" w:hAnsi="Verdana" w:cs="Arial"/>
          <w:sz w:val="20"/>
          <w:szCs w:val="20"/>
        </w:rPr>
        <w:t xml:space="preserve"> </w:t>
      </w:r>
      <w:r w:rsidR="00344F95" w:rsidRPr="008638D5">
        <w:rPr>
          <w:rFonts w:ascii="Verdana" w:hAnsi="Verdana" w:cs="Arial"/>
          <w:sz w:val="20"/>
          <w:szCs w:val="20"/>
        </w:rPr>
        <w:t>31 grudnia 201</w:t>
      </w:r>
      <w:r w:rsidR="00F55162" w:rsidRPr="008638D5">
        <w:rPr>
          <w:rFonts w:ascii="Verdana" w:hAnsi="Verdana" w:cs="Arial"/>
          <w:sz w:val="20"/>
          <w:szCs w:val="20"/>
        </w:rPr>
        <w:t>8</w:t>
      </w:r>
      <w:r w:rsidR="00A12A28">
        <w:rPr>
          <w:rFonts w:ascii="Verdana" w:hAnsi="Verdana" w:cs="Arial"/>
          <w:sz w:val="20"/>
          <w:szCs w:val="20"/>
        </w:rPr>
        <w:t> </w:t>
      </w:r>
      <w:r w:rsidR="00F55162" w:rsidRPr="008638D5">
        <w:rPr>
          <w:rFonts w:ascii="Verdana" w:hAnsi="Verdana" w:cs="Arial"/>
          <w:sz w:val="20"/>
          <w:szCs w:val="20"/>
        </w:rPr>
        <w:t>r</w:t>
      </w:r>
      <w:r w:rsidR="00442F4C">
        <w:rPr>
          <w:rFonts w:ascii="Verdana" w:hAnsi="Verdana" w:cs="Arial"/>
          <w:sz w:val="20"/>
          <w:szCs w:val="20"/>
        </w:rPr>
        <w:t>.</w:t>
      </w:r>
    </w:p>
    <w:p w14:paraId="10E1388B" w14:textId="1AC778E8" w:rsidR="00D14DBE" w:rsidRPr="008638D5" w:rsidRDefault="00D14DBE" w:rsidP="008B03E9">
      <w:pPr>
        <w:spacing w:after="120"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K (t) – </w:t>
      </w:r>
      <w:r w:rsidR="00997A98">
        <w:rPr>
          <w:rFonts w:ascii="Verdana" w:hAnsi="Verdana" w:cs="Arial"/>
          <w:sz w:val="20"/>
          <w:szCs w:val="20"/>
        </w:rPr>
        <w:t xml:space="preserve"> </w:t>
      </w:r>
      <w:r w:rsidRPr="008638D5">
        <w:rPr>
          <w:rFonts w:ascii="Verdana" w:hAnsi="Verdana" w:cs="Arial"/>
          <w:sz w:val="20"/>
          <w:szCs w:val="20"/>
        </w:rPr>
        <w:t>wartość współczyn</w:t>
      </w:r>
      <w:r w:rsidR="00F55162" w:rsidRPr="008638D5">
        <w:rPr>
          <w:rFonts w:ascii="Verdana" w:hAnsi="Verdana" w:cs="Arial"/>
          <w:sz w:val="20"/>
          <w:szCs w:val="20"/>
        </w:rPr>
        <w:t>nika korygującego na sesji „t”</w:t>
      </w:r>
    </w:p>
    <w:p w14:paraId="2B42E0CC" w14:textId="77777777" w:rsidR="00D14DBE" w:rsidRPr="008638D5" w:rsidRDefault="00D14DBE" w:rsidP="004B7AEB">
      <w:pPr>
        <w:numPr>
          <w:ilvl w:val="1"/>
          <w:numId w:val="8"/>
        </w:numPr>
        <w:spacing w:after="0"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Współczynnik korygujący K(t) ma na celu zachowanie ciągłości wartości indeksu </w:t>
      </w:r>
      <w:r w:rsidR="00CA5640" w:rsidRPr="008638D5">
        <w:rPr>
          <w:rFonts w:ascii="Verdana" w:hAnsi="Verdana" w:cs="Arial"/>
          <w:sz w:val="20"/>
          <w:szCs w:val="20"/>
        </w:rPr>
        <w:t>WIG-ESG</w:t>
      </w:r>
      <w:r w:rsidRPr="008638D5">
        <w:rPr>
          <w:rFonts w:ascii="Verdana" w:hAnsi="Verdana" w:cs="Arial"/>
          <w:sz w:val="20"/>
          <w:szCs w:val="20"/>
        </w:rPr>
        <w:t xml:space="preserve"> podczas rewizji </w:t>
      </w:r>
      <w:r w:rsidR="00C420C0" w:rsidRPr="008638D5">
        <w:rPr>
          <w:rFonts w:ascii="Verdana" w:hAnsi="Verdana" w:cs="Arial"/>
          <w:sz w:val="20"/>
          <w:szCs w:val="20"/>
        </w:rPr>
        <w:t xml:space="preserve">rocznej </w:t>
      </w:r>
      <w:r w:rsidRPr="008638D5">
        <w:rPr>
          <w:rFonts w:ascii="Verdana" w:hAnsi="Verdana" w:cs="Arial"/>
          <w:sz w:val="20"/>
          <w:szCs w:val="20"/>
        </w:rPr>
        <w:t>lub korekty nadzwyczajnej na podstawie poniższego wzoru:</w:t>
      </w:r>
    </w:p>
    <w:p w14:paraId="3FB6C3B5" w14:textId="77777777" w:rsidR="00D14DBE" w:rsidRPr="008638D5" w:rsidRDefault="00D14DBE" w:rsidP="004B7AEB">
      <w:pPr>
        <w:pStyle w:val="Tekstpodstawowy"/>
        <w:spacing w:line="360" w:lineRule="auto"/>
        <w:ind w:left="360"/>
        <w:rPr>
          <w:rFonts w:ascii="Verdana" w:hAnsi="Verdana" w:cs="Arial"/>
          <w:sz w:val="20"/>
          <w:szCs w:val="20"/>
          <w:lang w:val="de-DE"/>
        </w:rPr>
      </w:pPr>
      <w:r w:rsidRPr="008638D5">
        <w:rPr>
          <w:rFonts w:ascii="Verdana" w:hAnsi="Verdana" w:cs="Arial"/>
          <w:sz w:val="20"/>
          <w:szCs w:val="20"/>
        </w:rPr>
        <w:tab/>
      </w:r>
      <w:r w:rsidRPr="008638D5">
        <w:rPr>
          <w:rFonts w:ascii="Verdana" w:hAnsi="Verdana" w:cs="Arial"/>
          <w:sz w:val="20"/>
          <w:szCs w:val="20"/>
        </w:rPr>
        <w:tab/>
        <w:t xml:space="preserve">         </w:t>
      </w:r>
      <w:r w:rsidRPr="008638D5">
        <w:rPr>
          <w:rFonts w:ascii="Verdana" w:hAnsi="Verdana" w:cs="Arial"/>
          <w:sz w:val="20"/>
          <w:szCs w:val="20"/>
          <w:lang w:val="de-DE"/>
        </w:rPr>
        <w:t>M(t’)</w:t>
      </w:r>
    </w:p>
    <w:p w14:paraId="617EC92C" w14:textId="77777777" w:rsidR="00D14DBE" w:rsidRPr="008638D5" w:rsidRDefault="00D14DBE" w:rsidP="004B7AEB">
      <w:pPr>
        <w:pStyle w:val="Tekstpodstawowy"/>
        <w:spacing w:line="360" w:lineRule="auto"/>
        <w:ind w:left="360"/>
        <w:rPr>
          <w:rFonts w:ascii="Verdana" w:hAnsi="Verdana" w:cs="Arial"/>
          <w:sz w:val="20"/>
          <w:szCs w:val="20"/>
          <w:lang w:val="de-DE"/>
        </w:rPr>
      </w:pPr>
      <w:r w:rsidRPr="008638D5">
        <w:rPr>
          <w:rFonts w:ascii="Verdana" w:hAnsi="Verdana" w:cs="Arial"/>
          <w:sz w:val="20"/>
          <w:szCs w:val="20"/>
          <w:lang w:val="de-DE"/>
        </w:rPr>
        <w:tab/>
        <w:t>K(t+1)  =   ————— * K(t)</w:t>
      </w:r>
    </w:p>
    <w:p w14:paraId="57F895B1" w14:textId="77777777" w:rsidR="00D14DBE" w:rsidRPr="008638D5" w:rsidRDefault="00D14DBE" w:rsidP="004B7AEB">
      <w:pPr>
        <w:pStyle w:val="Tekstpodstawowy"/>
        <w:spacing w:line="360" w:lineRule="auto"/>
        <w:ind w:left="360"/>
        <w:rPr>
          <w:rFonts w:ascii="Verdana" w:hAnsi="Verdana" w:cs="Arial"/>
          <w:sz w:val="20"/>
          <w:szCs w:val="20"/>
          <w:lang w:val="de-DE"/>
        </w:rPr>
      </w:pPr>
      <w:r w:rsidRPr="008638D5">
        <w:rPr>
          <w:rFonts w:ascii="Verdana" w:hAnsi="Verdana" w:cs="Arial"/>
          <w:sz w:val="20"/>
          <w:szCs w:val="20"/>
          <w:lang w:val="de-DE"/>
        </w:rPr>
        <w:tab/>
        <w:t xml:space="preserve">        </w:t>
      </w:r>
      <w:r w:rsidRPr="008638D5">
        <w:rPr>
          <w:rFonts w:ascii="Verdana" w:hAnsi="Verdana" w:cs="Arial"/>
          <w:sz w:val="20"/>
          <w:szCs w:val="20"/>
          <w:lang w:val="de-DE"/>
        </w:rPr>
        <w:tab/>
      </w:r>
      <w:r w:rsidRPr="008638D5">
        <w:rPr>
          <w:rFonts w:ascii="Verdana" w:hAnsi="Verdana" w:cs="Arial"/>
          <w:sz w:val="20"/>
          <w:szCs w:val="20"/>
          <w:lang w:val="de-DE"/>
        </w:rPr>
        <w:tab/>
        <w:t>M(t)</w:t>
      </w:r>
    </w:p>
    <w:p w14:paraId="7693990A" w14:textId="77777777" w:rsidR="00D14DBE" w:rsidRPr="008638D5" w:rsidRDefault="00D14DBE" w:rsidP="004B7AEB">
      <w:pPr>
        <w:pStyle w:val="Tekstpodstawowy"/>
        <w:spacing w:line="360" w:lineRule="auto"/>
        <w:ind w:left="360"/>
        <w:rPr>
          <w:rFonts w:ascii="Verdana" w:hAnsi="Verdana" w:cs="Arial"/>
          <w:sz w:val="20"/>
          <w:szCs w:val="20"/>
          <w:lang w:val="de-DE"/>
        </w:rPr>
      </w:pPr>
      <w:r w:rsidRPr="008638D5">
        <w:rPr>
          <w:rFonts w:ascii="Verdana" w:hAnsi="Verdana" w:cs="Arial"/>
          <w:sz w:val="20"/>
          <w:szCs w:val="20"/>
          <w:lang w:val="de-DE"/>
        </w:rPr>
        <w:tab/>
      </w:r>
    </w:p>
    <w:p w14:paraId="17630A7F" w14:textId="253DB1F4" w:rsidR="00D14DBE" w:rsidRPr="008638D5" w:rsidRDefault="00D14DBE" w:rsidP="004B7AEB">
      <w:pPr>
        <w:pStyle w:val="Tekstpodstawowy"/>
        <w:spacing w:line="360" w:lineRule="auto"/>
        <w:ind w:left="360"/>
        <w:rPr>
          <w:rFonts w:ascii="Verdana" w:hAnsi="Verdana" w:cs="Arial"/>
          <w:sz w:val="20"/>
          <w:szCs w:val="20"/>
          <w:lang w:val="de-DE"/>
        </w:rPr>
      </w:pPr>
      <w:r w:rsidRPr="008638D5">
        <w:rPr>
          <w:rFonts w:ascii="Verdana" w:hAnsi="Verdana" w:cs="Arial"/>
          <w:sz w:val="20"/>
          <w:szCs w:val="20"/>
          <w:lang w:val="de-DE"/>
        </w:rPr>
        <w:tab/>
        <w:t>oraz:</w:t>
      </w:r>
      <w:r w:rsidRPr="008638D5">
        <w:rPr>
          <w:rFonts w:ascii="Verdana" w:hAnsi="Verdana" w:cs="Arial"/>
          <w:sz w:val="20"/>
          <w:szCs w:val="20"/>
          <w:lang w:val="de-DE"/>
        </w:rPr>
        <w:tab/>
        <w:t>M(t’) = M(t) - D(t) - V(t) + Q(t)</w:t>
      </w:r>
    </w:p>
    <w:p w14:paraId="4D967956" w14:textId="77777777" w:rsidR="00D14DBE" w:rsidRPr="008638D5" w:rsidRDefault="00D14DBE" w:rsidP="004B7AEB">
      <w:pPr>
        <w:pStyle w:val="Tekstpodstawowy"/>
        <w:spacing w:line="360" w:lineRule="auto"/>
        <w:ind w:left="360"/>
        <w:rPr>
          <w:rFonts w:ascii="Verdana" w:hAnsi="Verdana" w:cs="Arial"/>
          <w:sz w:val="20"/>
          <w:szCs w:val="20"/>
          <w:lang w:val="de-DE"/>
        </w:rPr>
      </w:pPr>
    </w:p>
    <w:p w14:paraId="20B9B1DC" w14:textId="53BC1DF9" w:rsidR="00D14DBE" w:rsidRPr="008638D5" w:rsidRDefault="00D14DBE" w:rsidP="004B7AEB">
      <w:pPr>
        <w:pStyle w:val="Tekstpodstawowy"/>
        <w:spacing w:line="360" w:lineRule="auto"/>
        <w:ind w:left="360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  <w:lang w:val="de-DE"/>
        </w:rPr>
        <w:tab/>
        <w:t xml:space="preserve"> </w:t>
      </w:r>
      <w:r w:rsidRPr="008638D5">
        <w:rPr>
          <w:rFonts w:ascii="Verdana" w:hAnsi="Verdana" w:cs="Arial"/>
          <w:sz w:val="20"/>
          <w:szCs w:val="20"/>
          <w:lang w:val="de-DE"/>
        </w:rPr>
        <w:tab/>
        <w:t xml:space="preserve">             </w:t>
      </w:r>
      <w:r w:rsidR="00A12A28">
        <w:rPr>
          <w:rFonts w:ascii="Verdana" w:hAnsi="Verdana" w:cs="Arial"/>
          <w:sz w:val="20"/>
          <w:szCs w:val="20"/>
          <w:lang w:val="de-DE"/>
        </w:rPr>
        <w:t xml:space="preserve">    </w:t>
      </w:r>
      <w:r w:rsidRPr="008638D5">
        <w:rPr>
          <w:rFonts w:ascii="Verdana" w:hAnsi="Verdana" w:cs="Arial"/>
          <w:sz w:val="20"/>
          <w:szCs w:val="20"/>
        </w:rPr>
        <w:t>P(i,t) - P(i,em)</w:t>
      </w:r>
    </w:p>
    <w:p w14:paraId="0EE901B1" w14:textId="77777777" w:rsidR="00D14DBE" w:rsidRPr="008638D5" w:rsidRDefault="00D14DBE" w:rsidP="004B7AEB">
      <w:pPr>
        <w:pStyle w:val="Tekstpodstawowy"/>
        <w:spacing w:line="360" w:lineRule="auto"/>
        <w:ind w:left="360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ab/>
        <w:t>gdzie :  V(i,t)  =   ————————  * N(i)</w:t>
      </w:r>
    </w:p>
    <w:p w14:paraId="1BF2A2B1" w14:textId="72D6AA74" w:rsidR="00D14DBE" w:rsidRPr="008638D5" w:rsidRDefault="00D14DBE" w:rsidP="004B7AEB">
      <w:pPr>
        <w:pStyle w:val="Tekstpodstawowy"/>
        <w:spacing w:line="360" w:lineRule="auto"/>
        <w:ind w:left="360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ab/>
      </w:r>
      <w:r w:rsidRPr="008638D5">
        <w:rPr>
          <w:rFonts w:ascii="Verdana" w:hAnsi="Verdana" w:cs="Arial"/>
          <w:sz w:val="20"/>
          <w:szCs w:val="20"/>
        </w:rPr>
        <w:tab/>
      </w:r>
      <w:r w:rsidRPr="008638D5">
        <w:rPr>
          <w:rFonts w:ascii="Verdana" w:hAnsi="Verdana" w:cs="Arial"/>
          <w:sz w:val="20"/>
          <w:szCs w:val="20"/>
        </w:rPr>
        <w:tab/>
        <w:t xml:space="preserve">       </w:t>
      </w:r>
      <w:r w:rsidR="00A12A28">
        <w:rPr>
          <w:rFonts w:ascii="Verdana" w:hAnsi="Verdana" w:cs="Arial"/>
          <w:sz w:val="20"/>
          <w:szCs w:val="20"/>
        </w:rPr>
        <w:t xml:space="preserve">   </w:t>
      </w:r>
      <w:r w:rsidRPr="008638D5">
        <w:rPr>
          <w:rFonts w:ascii="Verdana" w:hAnsi="Verdana" w:cs="Arial"/>
          <w:sz w:val="20"/>
          <w:szCs w:val="20"/>
        </w:rPr>
        <w:t xml:space="preserve"> S(i) + 1</w:t>
      </w:r>
    </w:p>
    <w:p w14:paraId="46582D67" w14:textId="77777777" w:rsidR="00D14DBE" w:rsidRPr="008638D5" w:rsidRDefault="00D14DBE" w:rsidP="004B7AEB">
      <w:pPr>
        <w:pStyle w:val="Tekstpodstawowy"/>
        <w:spacing w:line="360" w:lineRule="auto"/>
        <w:rPr>
          <w:rFonts w:ascii="Verdana" w:hAnsi="Verdana" w:cs="Arial"/>
          <w:sz w:val="20"/>
          <w:szCs w:val="20"/>
        </w:rPr>
      </w:pPr>
    </w:p>
    <w:p w14:paraId="3FD29EBC" w14:textId="77777777" w:rsidR="00D14DBE" w:rsidRPr="008638D5" w:rsidRDefault="00D14DBE" w:rsidP="004B7AEB">
      <w:pPr>
        <w:pStyle w:val="Tekstpodstawowy"/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D(t) - wartość dywidendy z akcji lub wartość teoretyczna dywidendy z akcji (obliczana przez Giełdę zgodnie ze Szczegółowymi Zasadami Obrotu Giełdowego), które na sesji „t+</w:t>
      </w:r>
      <w:smartTag w:uri="urn:schemas-microsoft-com:office:smarttags" w:element="metricconverter">
        <w:smartTagPr>
          <w:attr w:name="ProductID" w:val="1”"/>
        </w:smartTagPr>
        <w:r w:rsidRPr="008638D5">
          <w:rPr>
            <w:rFonts w:ascii="Verdana" w:hAnsi="Verdana" w:cs="Arial"/>
            <w:sz w:val="20"/>
            <w:szCs w:val="20"/>
          </w:rPr>
          <w:t>1”</w:t>
        </w:r>
      </w:smartTag>
      <w:r w:rsidRPr="008638D5">
        <w:rPr>
          <w:rFonts w:ascii="Verdana" w:hAnsi="Verdana" w:cs="Arial"/>
          <w:sz w:val="20"/>
          <w:szCs w:val="20"/>
        </w:rPr>
        <w:t xml:space="preserve"> po raz pierwszy będą notowane „bez dywidendy” </w:t>
      </w:r>
    </w:p>
    <w:p w14:paraId="0E2075BB" w14:textId="77777777" w:rsidR="00D14DBE" w:rsidRPr="008638D5" w:rsidRDefault="00D14DBE" w:rsidP="004B7AEB">
      <w:pPr>
        <w:pStyle w:val="Tekstpodstawowy"/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lastRenderedPageBreak/>
        <w:t>V(t) - wartość teoretyczna praw poboru z akcji, które na sesji „t+</w:t>
      </w:r>
      <w:smartTag w:uri="urn:schemas-microsoft-com:office:smarttags" w:element="metricconverter">
        <w:smartTagPr>
          <w:attr w:name="ProductID" w:val="1”"/>
        </w:smartTagPr>
        <w:r w:rsidRPr="008638D5">
          <w:rPr>
            <w:rFonts w:ascii="Verdana" w:hAnsi="Verdana" w:cs="Arial"/>
            <w:sz w:val="20"/>
            <w:szCs w:val="20"/>
          </w:rPr>
          <w:t>1”</w:t>
        </w:r>
      </w:smartTag>
      <w:r w:rsidRPr="008638D5">
        <w:rPr>
          <w:rFonts w:ascii="Verdana" w:hAnsi="Verdana" w:cs="Arial"/>
          <w:sz w:val="20"/>
          <w:szCs w:val="20"/>
        </w:rPr>
        <w:t xml:space="preserve"> po raz pierwszy będą notowane „bez prawa poboru”</w:t>
      </w:r>
    </w:p>
    <w:p w14:paraId="0E513BD6" w14:textId="77777777" w:rsidR="00D14DBE" w:rsidRPr="008638D5" w:rsidRDefault="00D14DBE" w:rsidP="004B7AEB">
      <w:pPr>
        <w:pStyle w:val="Tekstpodstawowy"/>
        <w:tabs>
          <w:tab w:val="left" w:pos="426"/>
        </w:tabs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V(i,t) - wartość teoretyczna praw poboru z akcji „i”, które na sesji „t+</w:t>
      </w:r>
      <w:smartTag w:uri="urn:schemas-microsoft-com:office:smarttags" w:element="metricconverter">
        <w:smartTagPr>
          <w:attr w:name="ProductID" w:val="1”"/>
        </w:smartTagPr>
        <w:r w:rsidRPr="008638D5">
          <w:rPr>
            <w:rFonts w:ascii="Verdana" w:hAnsi="Verdana" w:cs="Arial"/>
            <w:sz w:val="20"/>
            <w:szCs w:val="20"/>
          </w:rPr>
          <w:t>1”</w:t>
        </w:r>
      </w:smartTag>
      <w:r w:rsidRPr="008638D5">
        <w:rPr>
          <w:rFonts w:ascii="Verdana" w:hAnsi="Verdana" w:cs="Arial"/>
          <w:sz w:val="20"/>
          <w:szCs w:val="20"/>
        </w:rPr>
        <w:t xml:space="preserve"> po raz pierwszy będą notowane „bez prawa poboru”; wartości teoretycznej V(i,t) nie oblicza się, jeśli cena emisyjna P(i,em) jest wy</w:t>
      </w:r>
      <w:r w:rsidR="00F55162" w:rsidRPr="008638D5">
        <w:rPr>
          <w:rFonts w:ascii="Verdana" w:hAnsi="Verdana" w:cs="Arial"/>
          <w:sz w:val="20"/>
          <w:szCs w:val="20"/>
        </w:rPr>
        <w:t>ższa od kursu akcji P(i,t)</w:t>
      </w:r>
    </w:p>
    <w:p w14:paraId="5D713D5C" w14:textId="63AACA6D" w:rsidR="00D14DBE" w:rsidRPr="008638D5" w:rsidRDefault="00D14DBE" w:rsidP="004B7AEB">
      <w:pPr>
        <w:pStyle w:val="Tekstpodstawowy"/>
        <w:tabs>
          <w:tab w:val="left" w:pos="426"/>
        </w:tabs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Q(t) - wartość rynkowa akcji wpro</w:t>
      </w:r>
      <w:r w:rsidR="00394A6B">
        <w:rPr>
          <w:rFonts w:ascii="Verdana" w:hAnsi="Verdana" w:cs="Arial"/>
          <w:sz w:val="20"/>
          <w:szCs w:val="20"/>
        </w:rPr>
        <w:t>wadzanych (+), bądź wyłączanych </w:t>
      </w:r>
      <w:r w:rsidRPr="008638D5">
        <w:rPr>
          <w:rFonts w:ascii="Verdana" w:hAnsi="Verdana" w:cs="Arial"/>
          <w:sz w:val="20"/>
          <w:szCs w:val="20"/>
        </w:rPr>
        <w:t>(-) z</w:t>
      </w:r>
      <w:r w:rsidR="00394A6B">
        <w:rPr>
          <w:rFonts w:ascii="Verdana" w:hAnsi="Verdana" w:cs="Arial"/>
          <w:sz w:val="20"/>
          <w:szCs w:val="20"/>
        </w:rPr>
        <w:t> </w:t>
      </w:r>
      <w:r w:rsidRPr="008638D5">
        <w:rPr>
          <w:rFonts w:ascii="Verdana" w:hAnsi="Verdana" w:cs="Arial"/>
          <w:sz w:val="20"/>
          <w:szCs w:val="20"/>
        </w:rPr>
        <w:t xml:space="preserve">portfela indeksu </w:t>
      </w:r>
      <w:r w:rsidR="006F4BAD" w:rsidRPr="008638D5">
        <w:rPr>
          <w:rFonts w:ascii="Verdana" w:hAnsi="Verdana" w:cs="Arial"/>
          <w:sz w:val="20"/>
          <w:szCs w:val="20"/>
        </w:rPr>
        <w:t xml:space="preserve">WIG-ESG </w:t>
      </w:r>
      <w:r w:rsidRPr="008638D5">
        <w:rPr>
          <w:rFonts w:ascii="Verdana" w:hAnsi="Verdana" w:cs="Arial"/>
          <w:sz w:val="20"/>
          <w:szCs w:val="20"/>
        </w:rPr>
        <w:t>po sesji „t”; dotyczy to zarówno zwiększania pakietów akcji spółek wcześniej uczestniczących w indeksie</w:t>
      </w:r>
      <w:r w:rsidR="006F4BAD">
        <w:rPr>
          <w:rFonts w:ascii="Verdana" w:hAnsi="Verdana" w:cs="Arial"/>
          <w:sz w:val="20"/>
          <w:szCs w:val="20"/>
        </w:rPr>
        <w:t xml:space="preserve"> </w:t>
      </w:r>
      <w:r w:rsidR="006F4BAD" w:rsidRPr="008638D5">
        <w:rPr>
          <w:rFonts w:ascii="Verdana" w:hAnsi="Verdana" w:cs="Arial"/>
          <w:sz w:val="20"/>
          <w:szCs w:val="20"/>
        </w:rPr>
        <w:t>WIG-ESG</w:t>
      </w:r>
      <w:r w:rsidRPr="008638D5">
        <w:rPr>
          <w:rFonts w:ascii="Verdana" w:hAnsi="Verdana" w:cs="Arial"/>
          <w:sz w:val="20"/>
          <w:szCs w:val="20"/>
        </w:rPr>
        <w:t>, jak również akcji spółek jeszcze nie uczestniczących w</w:t>
      </w:r>
      <w:r w:rsidR="0031700B" w:rsidRPr="008638D5">
        <w:rPr>
          <w:rFonts w:ascii="Verdana" w:hAnsi="Verdana" w:cs="Arial"/>
          <w:sz w:val="20"/>
          <w:szCs w:val="20"/>
        </w:rPr>
        <w:t> </w:t>
      </w:r>
      <w:r w:rsidRPr="008638D5">
        <w:rPr>
          <w:rFonts w:ascii="Verdana" w:hAnsi="Verdana" w:cs="Arial"/>
          <w:sz w:val="20"/>
          <w:szCs w:val="20"/>
        </w:rPr>
        <w:t>indeksie</w:t>
      </w:r>
      <w:r w:rsidR="006F4BAD" w:rsidRPr="006F4BAD">
        <w:rPr>
          <w:rFonts w:ascii="Verdana" w:hAnsi="Verdana" w:cs="Arial"/>
          <w:sz w:val="20"/>
          <w:szCs w:val="20"/>
        </w:rPr>
        <w:t xml:space="preserve"> </w:t>
      </w:r>
      <w:r w:rsidR="006F4BAD" w:rsidRPr="008638D5">
        <w:rPr>
          <w:rFonts w:ascii="Verdana" w:hAnsi="Verdana" w:cs="Arial"/>
          <w:sz w:val="20"/>
          <w:szCs w:val="20"/>
        </w:rPr>
        <w:t>WIG-ESG</w:t>
      </w:r>
    </w:p>
    <w:p w14:paraId="5C4BCA3D" w14:textId="77777777" w:rsidR="00D14DBE" w:rsidRPr="008638D5" w:rsidRDefault="00D14DBE" w:rsidP="004B7AEB">
      <w:pPr>
        <w:pStyle w:val="Tekstpodstawowy"/>
        <w:tabs>
          <w:tab w:val="left" w:pos="426"/>
        </w:tabs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 xml:space="preserve">P(i,t) - kurs akcji „i” na sesji „t” </w:t>
      </w:r>
    </w:p>
    <w:p w14:paraId="629A5B80" w14:textId="77777777" w:rsidR="00D14DBE" w:rsidRPr="008638D5" w:rsidRDefault="00D14DBE" w:rsidP="004B7AEB">
      <w:pPr>
        <w:pStyle w:val="Tekstpodstawowy"/>
        <w:tabs>
          <w:tab w:val="left" w:pos="426"/>
        </w:tabs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P(i,em) - cena akcji nowej emisji z prawem poboru spółki „i”</w:t>
      </w:r>
    </w:p>
    <w:p w14:paraId="56B5396E" w14:textId="77777777" w:rsidR="00D14DBE" w:rsidRPr="008638D5" w:rsidRDefault="00D14DBE" w:rsidP="004B7AEB">
      <w:pPr>
        <w:pStyle w:val="Tekstpodstawowy"/>
        <w:tabs>
          <w:tab w:val="left" w:pos="426"/>
        </w:tabs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S(i) - liczba praw niezbędna do objęcia 1 akcji nowej emisji spółki „i”</w:t>
      </w:r>
    </w:p>
    <w:p w14:paraId="01691B70" w14:textId="39546575" w:rsidR="00D14DBE" w:rsidRPr="00983E33" w:rsidRDefault="00D14DBE" w:rsidP="008B03E9">
      <w:pPr>
        <w:pStyle w:val="Tekstpodstawowy"/>
        <w:tabs>
          <w:tab w:val="left" w:pos="426"/>
        </w:tabs>
        <w:spacing w:after="120" w:line="360" w:lineRule="auto"/>
        <w:ind w:left="426"/>
        <w:rPr>
          <w:rFonts w:ascii="Verdana" w:hAnsi="Verdana" w:cs="Arial"/>
          <w:sz w:val="20"/>
          <w:szCs w:val="20"/>
        </w:rPr>
      </w:pPr>
      <w:r w:rsidRPr="00983E33">
        <w:rPr>
          <w:rFonts w:ascii="Verdana" w:hAnsi="Verdana" w:cs="Arial"/>
          <w:sz w:val="20"/>
          <w:szCs w:val="20"/>
        </w:rPr>
        <w:t>N(i) - liczba akcji spółki „i” w portfelu indeksu</w:t>
      </w:r>
      <w:r w:rsidR="006F4BAD" w:rsidRPr="00983E33">
        <w:rPr>
          <w:rFonts w:ascii="Verdana" w:hAnsi="Verdana" w:cs="Arial"/>
          <w:sz w:val="20"/>
          <w:szCs w:val="20"/>
        </w:rPr>
        <w:t xml:space="preserve"> WIG-ESG</w:t>
      </w:r>
      <w:r w:rsidRPr="00983E33">
        <w:rPr>
          <w:rFonts w:ascii="Verdana" w:hAnsi="Verdana" w:cs="Arial"/>
          <w:sz w:val="20"/>
          <w:szCs w:val="20"/>
        </w:rPr>
        <w:t>.</w:t>
      </w:r>
    </w:p>
    <w:p w14:paraId="384E4F6F" w14:textId="1D88271E" w:rsidR="00D14DBE" w:rsidRPr="00983E33" w:rsidRDefault="00012CE2" w:rsidP="004B7AEB">
      <w:pPr>
        <w:numPr>
          <w:ilvl w:val="1"/>
          <w:numId w:val="8"/>
        </w:numPr>
        <w:spacing w:after="0" w:line="360" w:lineRule="auto"/>
        <w:ind w:left="426"/>
        <w:rPr>
          <w:rFonts w:ascii="Verdana" w:hAnsi="Verdana" w:cs="Arial"/>
          <w:sz w:val="20"/>
          <w:szCs w:val="20"/>
        </w:rPr>
      </w:pPr>
      <w:r w:rsidRPr="00983E33">
        <w:rPr>
          <w:rFonts w:ascii="Verdana" w:hAnsi="Verdana" w:cs="Arial"/>
          <w:sz w:val="20"/>
          <w:szCs w:val="20"/>
        </w:rPr>
        <w:t xml:space="preserve">Wartości </w:t>
      </w:r>
      <w:r w:rsidR="00D14DBE" w:rsidRPr="00983E33">
        <w:rPr>
          <w:rFonts w:ascii="Verdana" w:hAnsi="Verdana" w:cs="Arial"/>
          <w:sz w:val="20"/>
          <w:szCs w:val="20"/>
        </w:rPr>
        <w:t xml:space="preserve">indeksu </w:t>
      </w:r>
      <w:r w:rsidR="005B3E06" w:rsidRPr="00983E33">
        <w:rPr>
          <w:rFonts w:ascii="Verdana" w:hAnsi="Verdana" w:cs="Arial"/>
          <w:sz w:val="20"/>
          <w:szCs w:val="20"/>
        </w:rPr>
        <w:t xml:space="preserve">WIG-ESG </w:t>
      </w:r>
      <w:r w:rsidRPr="00983E33">
        <w:rPr>
          <w:rFonts w:ascii="Verdana" w:hAnsi="Verdana" w:cs="Arial"/>
          <w:sz w:val="20"/>
          <w:szCs w:val="20"/>
        </w:rPr>
        <w:t xml:space="preserve">są podawane </w:t>
      </w:r>
      <w:r w:rsidR="00D14DBE" w:rsidRPr="00983E33">
        <w:rPr>
          <w:rFonts w:ascii="Verdana" w:hAnsi="Verdana" w:cs="Arial"/>
          <w:sz w:val="20"/>
          <w:szCs w:val="20"/>
        </w:rPr>
        <w:t>w punktach z dokładnością do 0</w:t>
      </w:r>
      <w:r w:rsidR="008B03E9" w:rsidRPr="00983E33">
        <w:rPr>
          <w:rFonts w:ascii="Verdana" w:hAnsi="Verdana" w:cs="Arial"/>
          <w:sz w:val="20"/>
          <w:szCs w:val="20"/>
        </w:rPr>
        <w:t>,</w:t>
      </w:r>
      <w:r w:rsidR="00D14DBE" w:rsidRPr="00983E33">
        <w:rPr>
          <w:rFonts w:ascii="Verdana" w:hAnsi="Verdana" w:cs="Arial"/>
          <w:sz w:val="20"/>
          <w:szCs w:val="20"/>
        </w:rPr>
        <w:t>01 punktu.</w:t>
      </w:r>
    </w:p>
    <w:p w14:paraId="2F4A3490" w14:textId="084988BE" w:rsidR="00D14DBE" w:rsidRDefault="008B03E9" w:rsidP="004B7AEB">
      <w:pPr>
        <w:numPr>
          <w:ilvl w:val="1"/>
          <w:numId w:val="8"/>
        </w:numPr>
        <w:spacing w:after="0" w:line="360" w:lineRule="auto"/>
        <w:ind w:left="426"/>
        <w:rPr>
          <w:rFonts w:ascii="Verdana" w:hAnsi="Verdana" w:cs="Arial"/>
          <w:sz w:val="20"/>
          <w:szCs w:val="20"/>
        </w:rPr>
      </w:pPr>
      <w:r w:rsidRPr="008638D5">
        <w:rPr>
          <w:rFonts w:ascii="Verdana" w:hAnsi="Verdana" w:cs="Arial"/>
          <w:sz w:val="20"/>
          <w:szCs w:val="20"/>
        </w:rPr>
        <w:t>Warto</w:t>
      </w:r>
      <w:r>
        <w:rPr>
          <w:rFonts w:ascii="Verdana" w:hAnsi="Verdana" w:cs="Arial"/>
          <w:sz w:val="20"/>
          <w:szCs w:val="20"/>
        </w:rPr>
        <w:t>ści</w:t>
      </w:r>
      <w:r w:rsidR="00D14DBE" w:rsidRPr="008638D5">
        <w:rPr>
          <w:rFonts w:ascii="Verdana" w:hAnsi="Verdana" w:cs="Arial"/>
          <w:sz w:val="20"/>
          <w:szCs w:val="20"/>
        </w:rPr>
        <w:t xml:space="preserve"> indeksu </w:t>
      </w:r>
      <w:r w:rsidR="005B3E06" w:rsidRPr="008638D5">
        <w:rPr>
          <w:rFonts w:ascii="Verdana" w:hAnsi="Verdana" w:cs="Arial"/>
          <w:sz w:val="20"/>
          <w:szCs w:val="20"/>
        </w:rPr>
        <w:t xml:space="preserve">WIG-ESG </w:t>
      </w:r>
      <w:r w:rsidR="005B01AF">
        <w:rPr>
          <w:rFonts w:ascii="Verdana" w:hAnsi="Verdana" w:cs="Arial"/>
          <w:sz w:val="20"/>
          <w:szCs w:val="20"/>
        </w:rPr>
        <w:t>są</w:t>
      </w:r>
      <w:r w:rsidR="005B01AF" w:rsidRPr="008638D5">
        <w:rPr>
          <w:rFonts w:ascii="Verdana" w:hAnsi="Verdana" w:cs="Arial"/>
          <w:sz w:val="20"/>
          <w:szCs w:val="20"/>
        </w:rPr>
        <w:t xml:space="preserve"> obliczan</w:t>
      </w:r>
      <w:r w:rsidR="005B01AF">
        <w:rPr>
          <w:rFonts w:ascii="Verdana" w:hAnsi="Verdana" w:cs="Arial"/>
          <w:sz w:val="20"/>
          <w:szCs w:val="20"/>
        </w:rPr>
        <w:t>e</w:t>
      </w:r>
      <w:r w:rsidR="005B01AF" w:rsidRPr="008638D5">
        <w:rPr>
          <w:rFonts w:ascii="Verdana" w:hAnsi="Verdana" w:cs="Arial"/>
          <w:sz w:val="20"/>
          <w:szCs w:val="20"/>
        </w:rPr>
        <w:t xml:space="preserve"> </w:t>
      </w:r>
      <w:r w:rsidR="00B47862" w:rsidRPr="008638D5">
        <w:rPr>
          <w:rFonts w:ascii="Verdana" w:hAnsi="Verdana" w:cs="Arial"/>
          <w:sz w:val="20"/>
          <w:szCs w:val="20"/>
        </w:rPr>
        <w:t xml:space="preserve">w trybie ciągłym </w:t>
      </w:r>
      <w:r w:rsidR="00D14DBE" w:rsidRPr="008638D5">
        <w:rPr>
          <w:rFonts w:ascii="Verdana" w:hAnsi="Verdana" w:cs="Arial"/>
          <w:sz w:val="20"/>
          <w:szCs w:val="20"/>
        </w:rPr>
        <w:t xml:space="preserve">i </w:t>
      </w:r>
      <w:r w:rsidR="005B01AF" w:rsidRPr="008638D5">
        <w:rPr>
          <w:rFonts w:ascii="Verdana" w:hAnsi="Verdana" w:cs="Arial"/>
          <w:sz w:val="20"/>
          <w:szCs w:val="20"/>
        </w:rPr>
        <w:t>podawan</w:t>
      </w:r>
      <w:r w:rsidR="005B01AF">
        <w:rPr>
          <w:rFonts w:ascii="Verdana" w:hAnsi="Verdana" w:cs="Arial"/>
          <w:sz w:val="20"/>
          <w:szCs w:val="20"/>
        </w:rPr>
        <w:t>e</w:t>
      </w:r>
      <w:r w:rsidR="005B01AF" w:rsidRPr="008638D5">
        <w:rPr>
          <w:rFonts w:ascii="Verdana" w:hAnsi="Verdana" w:cs="Arial"/>
          <w:sz w:val="20"/>
          <w:szCs w:val="20"/>
        </w:rPr>
        <w:t xml:space="preserve"> </w:t>
      </w:r>
      <w:r w:rsidR="00D14DBE" w:rsidRPr="008638D5">
        <w:rPr>
          <w:rFonts w:ascii="Verdana" w:hAnsi="Verdana" w:cs="Arial"/>
          <w:sz w:val="20"/>
          <w:szCs w:val="20"/>
        </w:rPr>
        <w:t>do publicznej wiadomości przez Giełdę</w:t>
      </w:r>
      <w:r w:rsidR="00363847">
        <w:rPr>
          <w:rFonts w:ascii="Verdana" w:hAnsi="Verdana" w:cs="Arial"/>
          <w:sz w:val="20"/>
          <w:szCs w:val="20"/>
        </w:rPr>
        <w:t xml:space="preserve"> </w:t>
      </w:r>
      <w:r w:rsidR="00D14DBE" w:rsidRPr="008638D5">
        <w:rPr>
          <w:rFonts w:ascii="Verdana" w:hAnsi="Verdana" w:cs="Arial"/>
          <w:sz w:val="20"/>
          <w:szCs w:val="20"/>
        </w:rPr>
        <w:t xml:space="preserve">co </w:t>
      </w:r>
      <w:r w:rsidR="003B4E01" w:rsidRPr="008638D5">
        <w:rPr>
          <w:rFonts w:ascii="Verdana" w:hAnsi="Verdana" w:cs="Arial"/>
          <w:sz w:val="20"/>
          <w:szCs w:val="20"/>
        </w:rPr>
        <w:t>minutę</w:t>
      </w:r>
      <w:r w:rsidR="00B47862" w:rsidRPr="008638D5">
        <w:rPr>
          <w:rFonts w:ascii="Verdana" w:hAnsi="Verdana" w:cs="Arial"/>
          <w:sz w:val="20"/>
          <w:szCs w:val="20"/>
        </w:rPr>
        <w:t xml:space="preserve"> od rozpoczęcia sesji do jej zakończenia</w:t>
      </w:r>
      <w:r w:rsidR="00D14DBE" w:rsidRPr="008638D5">
        <w:rPr>
          <w:rFonts w:ascii="Verdana" w:hAnsi="Verdana" w:cs="Arial"/>
          <w:sz w:val="20"/>
          <w:szCs w:val="20"/>
        </w:rPr>
        <w:t>.</w:t>
      </w:r>
    </w:p>
    <w:p w14:paraId="046E07B6" w14:textId="080F9181" w:rsidR="006D1E45" w:rsidRDefault="006D1E45" w:rsidP="006D1E45">
      <w:pPr>
        <w:pStyle w:val="Tekstpodstawowy"/>
        <w:numPr>
          <w:ilvl w:val="1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outlineLvl w:val="0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Wartoś</w:t>
      </w:r>
      <w:r w:rsidR="005B01AF">
        <w:rPr>
          <w:rFonts w:ascii="Verdana" w:hAnsi="Verdana" w:cs="Arial"/>
          <w:sz w:val="20"/>
        </w:rPr>
        <w:t>ć</w:t>
      </w:r>
      <w:r w:rsidRPr="00CE0814">
        <w:rPr>
          <w:rFonts w:ascii="Verdana" w:hAnsi="Verdana" w:cs="Arial"/>
          <w:sz w:val="20"/>
        </w:rPr>
        <w:t xml:space="preserve"> otwarcia indeks</w:t>
      </w:r>
      <w:r>
        <w:rPr>
          <w:rFonts w:ascii="Verdana" w:hAnsi="Verdana" w:cs="Arial"/>
          <w:sz w:val="20"/>
        </w:rPr>
        <w:t>u</w:t>
      </w:r>
      <w:r w:rsidRPr="00CE0814">
        <w:rPr>
          <w:rFonts w:ascii="Verdana" w:hAnsi="Verdana" w:cs="Arial"/>
          <w:sz w:val="20"/>
        </w:rPr>
        <w:t xml:space="preserve"> </w:t>
      </w:r>
      <w:r w:rsidR="005B3E06" w:rsidRPr="008638D5">
        <w:rPr>
          <w:rFonts w:ascii="Verdana" w:hAnsi="Verdana" w:cs="Arial"/>
          <w:sz w:val="20"/>
          <w:szCs w:val="20"/>
        </w:rPr>
        <w:t xml:space="preserve">WIG-ESG </w:t>
      </w:r>
      <w:r>
        <w:rPr>
          <w:rFonts w:ascii="Verdana" w:hAnsi="Verdana" w:cs="Arial"/>
          <w:sz w:val="20"/>
        </w:rPr>
        <w:t>po</w:t>
      </w:r>
      <w:r w:rsidRPr="00CE0814">
        <w:rPr>
          <w:rFonts w:ascii="Verdana" w:hAnsi="Verdana" w:cs="Arial"/>
          <w:sz w:val="20"/>
        </w:rPr>
        <w:t>dawan</w:t>
      </w:r>
      <w:r w:rsidR="005B01AF">
        <w:rPr>
          <w:rFonts w:ascii="Verdana" w:hAnsi="Verdana" w:cs="Arial"/>
          <w:sz w:val="20"/>
        </w:rPr>
        <w:t>a</w:t>
      </w:r>
      <w:r w:rsidRPr="00CE0814">
        <w:rPr>
          <w:rFonts w:ascii="Verdana" w:hAnsi="Verdana" w:cs="Arial"/>
          <w:sz w:val="20"/>
        </w:rPr>
        <w:t xml:space="preserve"> </w:t>
      </w:r>
      <w:r w:rsidR="005B01AF">
        <w:rPr>
          <w:rFonts w:ascii="Verdana" w:hAnsi="Verdana" w:cs="Arial"/>
          <w:sz w:val="20"/>
        </w:rPr>
        <w:t>jest</w:t>
      </w:r>
      <w:r w:rsidRPr="00CE0814">
        <w:rPr>
          <w:rFonts w:ascii="Verdana" w:hAnsi="Verdana" w:cs="Arial"/>
          <w:sz w:val="20"/>
        </w:rPr>
        <w:t xml:space="preserve"> do publicznej wiadomości po osiągnięciu przez wskaźnik otwarcia W wartości 65%, ale nie później niż godzinę od rozpoczęcia sesji.</w:t>
      </w:r>
    </w:p>
    <w:p w14:paraId="300B93CF" w14:textId="3B3219BF" w:rsidR="006D1E45" w:rsidRPr="00CE0814" w:rsidRDefault="006D1E45" w:rsidP="008B03E9">
      <w:pPr>
        <w:pStyle w:val="Tekstpodstawowy"/>
        <w:numPr>
          <w:ilvl w:val="1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line="360" w:lineRule="auto"/>
        <w:outlineLvl w:val="0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Wskaźnik otwarcia W obliczany jest jako relacja bieżącej wartoś</w:t>
      </w:r>
      <w:r w:rsidR="00F450D5">
        <w:rPr>
          <w:rFonts w:ascii="Verdana" w:hAnsi="Verdana" w:cs="Arial"/>
          <w:sz w:val="20"/>
        </w:rPr>
        <w:t xml:space="preserve">ci </w:t>
      </w:r>
      <w:r w:rsidRPr="00CE0814">
        <w:rPr>
          <w:rFonts w:ascii="Verdana" w:hAnsi="Verdana" w:cs="Arial"/>
          <w:sz w:val="20"/>
        </w:rPr>
        <w:t xml:space="preserve">pakietów akcji, </w:t>
      </w:r>
      <w:r w:rsidRPr="00CE0814">
        <w:rPr>
          <w:rFonts w:ascii="Verdana" w:hAnsi="Verdana" w:cs="Arial"/>
          <w:sz w:val="20"/>
        </w:rPr>
        <w:br/>
        <w:t>dla których zawarto transakcje podczas sesji do bieżącej kapitalizacji portfela indeksu</w:t>
      </w:r>
      <w:r w:rsidR="005B3E06" w:rsidRPr="005B3E06">
        <w:rPr>
          <w:rFonts w:ascii="Verdana" w:hAnsi="Verdana" w:cs="Arial"/>
          <w:sz w:val="20"/>
          <w:szCs w:val="20"/>
        </w:rPr>
        <w:t xml:space="preserve"> </w:t>
      </w:r>
      <w:r w:rsidR="005B3E06" w:rsidRPr="008638D5">
        <w:rPr>
          <w:rFonts w:ascii="Verdana" w:hAnsi="Verdana" w:cs="Arial"/>
          <w:sz w:val="20"/>
          <w:szCs w:val="20"/>
        </w:rPr>
        <w:t>WIG-ESG</w:t>
      </w:r>
      <w:r w:rsidRPr="00CE0814">
        <w:rPr>
          <w:rFonts w:ascii="Verdana" w:hAnsi="Verdana" w:cs="Arial"/>
          <w:sz w:val="20"/>
        </w:rPr>
        <w:t>.</w:t>
      </w:r>
    </w:p>
    <w:p w14:paraId="080F23CC" w14:textId="40AA6470" w:rsidR="005B01AF" w:rsidRPr="00CE0814" w:rsidRDefault="005B01AF" w:rsidP="008B03E9">
      <w:pPr>
        <w:pStyle w:val="Tekstpodstawowy"/>
        <w:numPr>
          <w:ilvl w:val="1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outlineLvl w:val="0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Po zakończeniu sesji publikowane są ostateczne wartości otwarcia i zamknięcia indeks</w:t>
      </w:r>
      <w:r w:rsidR="00F450D5">
        <w:rPr>
          <w:rFonts w:ascii="Verdana" w:hAnsi="Verdana" w:cs="Arial"/>
          <w:sz w:val="20"/>
        </w:rPr>
        <w:t>u</w:t>
      </w:r>
      <w:r w:rsidR="005B3E06" w:rsidRPr="005B3E06">
        <w:rPr>
          <w:rFonts w:ascii="Verdana" w:hAnsi="Verdana" w:cs="Arial"/>
          <w:sz w:val="20"/>
          <w:szCs w:val="20"/>
        </w:rPr>
        <w:t xml:space="preserve"> </w:t>
      </w:r>
      <w:r w:rsidR="005B3E06" w:rsidRPr="008638D5">
        <w:rPr>
          <w:rFonts w:ascii="Verdana" w:hAnsi="Verdana" w:cs="Arial"/>
          <w:sz w:val="20"/>
          <w:szCs w:val="20"/>
        </w:rPr>
        <w:t>WIG-ESG</w:t>
      </w:r>
      <w:r w:rsidR="00F450D5">
        <w:rPr>
          <w:rFonts w:ascii="Verdana" w:hAnsi="Verdana" w:cs="Arial"/>
          <w:sz w:val="20"/>
        </w:rPr>
        <w:t xml:space="preserve"> </w:t>
      </w:r>
      <w:r w:rsidRPr="00CE0814">
        <w:rPr>
          <w:rFonts w:ascii="Verdana" w:hAnsi="Verdana" w:cs="Arial"/>
          <w:sz w:val="20"/>
        </w:rPr>
        <w:t>oraz wskaźniki statystyczne zawierające podsumowanie dnia.</w:t>
      </w:r>
    </w:p>
    <w:p w14:paraId="47DD05A7" w14:textId="2990817B" w:rsidR="005B01AF" w:rsidRPr="00CE0814" w:rsidRDefault="005B01AF" w:rsidP="008B03E9">
      <w:pPr>
        <w:pStyle w:val="Tekstpodstawowy"/>
        <w:numPr>
          <w:ilvl w:val="1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outlineLvl w:val="0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Wartość zamknięcia indeksu</w:t>
      </w:r>
      <w:r w:rsidR="005B3E06" w:rsidRPr="005B3E06">
        <w:rPr>
          <w:rFonts w:ascii="Verdana" w:hAnsi="Verdana" w:cs="Arial"/>
          <w:sz w:val="20"/>
          <w:szCs w:val="20"/>
        </w:rPr>
        <w:t xml:space="preserve"> </w:t>
      </w:r>
      <w:r w:rsidR="005B3E06" w:rsidRPr="008638D5">
        <w:rPr>
          <w:rFonts w:ascii="Verdana" w:hAnsi="Verdana" w:cs="Arial"/>
          <w:sz w:val="20"/>
          <w:szCs w:val="20"/>
        </w:rPr>
        <w:t>WIG-ESG</w:t>
      </w:r>
      <w:r w:rsidRPr="00CE0814">
        <w:rPr>
          <w:rFonts w:ascii="Verdana" w:hAnsi="Verdana" w:cs="Arial"/>
          <w:sz w:val="20"/>
        </w:rPr>
        <w:t xml:space="preserve"> jest centralną wartością dnia </w:t>
      </w:r>
      <w:r w:rsidR="000351DA">
        <w:rPr>
          <w:rFonts w:ascii="Verdana" w:hAnsi="Verdana" w:cs="Arial"/>
          <w:sz w:val="20"/>
        </w:rPr>
        <w:t xml:space="preserve">tego </w:t>
      </w:r>
      <w:r w:rsidRPr="00CE0814">
        <w:rPr>
          <w:rFonts w:ascii="Verdana" w:hAnsi="Verdana" w:cs="Arial"/>
          <w:sz w:val="20"/>
        </w:rPr>
        <w:t>indeksu, w szczególności stosowaną do przeliczeń wartości współczynnika korygującego K(t).</w:t>
      </w:r>
    </w:p>
    <w:p w14:paraId="56C3C93A" w14:textId="5BC35B21" w:rsidR="006D1E45" w:rsidRPr="005B01AF" w:rsidRDefault="005B01AF" w:rsidP="008B03E9">
      <w:pPr>
        <w:pStyle w:val="Tekstpodstawowy"/>
        <w:numPr>
          <w:ilvl w:val="1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outlineLvl w:val="0"/>
        <w:rPr>
          <w:rFonts w:ascii="Verdana" w:hAnsi="Verdana" w:cs="Arial"/>
          <w:sz w:val="20"/>
        </w:rPr>
      </w:pPr>
      <w:r w:rsidRPr="005B01AF">
        <w:rPr>
          <w:rFonts w:ascii="Verdana" w:hAnsi="Verdana" w:cs="Arial"/>
          <w:sz w:val="20"/>
        </w:rPr>
        <w:t>W przypadku, gdy anulowanie transakcji giełdowych wpłynęło na wartość indeks</w:t>
      </w:r>
      <w:r w:rsidR="00F450D5">
        <w:rPr>
          <w:rFonts w:ascii="Verdana" w:hAnsi="Verdana" w:cs="Arial"/>
          <w:sz w:val="20"/>
        </w:rPr>
        <w:t>u</w:t>
      </w:r>
      <w:r w:rsidR="005B3E06" w:rsidRPr="005B3E06">
        <w:rPr>
          <w:rFonts w:ascii="Verdana" w:hAnsi="Verdana" w:cs="Arial"/>
          <w:sz w:val="20"/>
          <w:szCs w:val="20"/>
        </w:rPr>
        <w:t xml:space="preserve"> </w:t>
      </w:r>
      <w:r w:rsidR="005B3E06" w:rsidRPr="008638D5">
        <w:rPr>
          <w:rFonts w:ascii="Verdana" w:hAnsi="Verdana" w:cs="Arial"/>
          <w:sz w:val="20"/>
          <w:szCs w:val="20"/>
        </w:rPr>
        <w:t>WIG-ESG</w:t>
      </w:r>
      <w:r w:rsidR="00F450D5">
        <w:rPr>
          <w:rFonts w:ascii="Verdana" w:hAnsi="Verdana" w:cs="Arial"/>
          <w:sz w:val="20"/>
        </w:rPr>
        <w:t xml:space="preserve">, </w:t>
      </w:r>
      <w:r w:rsidRPr="005B01AF">
        <w:rPr>
          <w:rFonts w:ascii="Verdana" w:hAnsi="Verdana" w:cs="Arial"/>
          <w:sz w:val="20"/>
        </w:rPr>
        <w:t>po sesji giełdowej powtórnie oblicz</w:t>
      </w:r>
      <w:r w:rsidR="00F450D5">
        <w:rPr>
          <w:rFonts w:ascii="Verdana" w:hAnsi="Verdana" w:cs="Arial"/>
          <w:sz w:val="20"/>
        </w:rPr>
        <w:t xml:space="preserve">ane </w:t>
      </w:r>
      <w:r w:rsidRPr="005B01AF">
        <w:rPr>
          <w:rFonts w:ascii="Verdana" w:hAnsi="Verdana" w:cs="Arial"/>
          <w:sz w:val="20"/>
        </w:rPr>
        <w:t>i opublikowan</w:t>
      </w:r>
      <w:r w:rsidR="00F450D5">
        <w:rPr>
          <w:rFonts w:ascii="Verdana" w:hAnsi="Verdana" w:cs="Arial"/>
          <w:sz w:val="20"/>
        </w:rPr>
        <w:t xml:space="preserve">e są </w:t>
      </w:r>
      <w:r w:rsidRPr="005B01AF">
        <w:rPr>
          <w:rFonts w:ascii="Verdana" w:hAnsi="Verdana" w:cs="Arial"/>
          <w:sz w:val="20"/>
        </w:rPr>
        <w:t>wartoś</w:t>
      </w:r>
      <w:r w:rsidR="00F450D5">
        <w:rPr>
          <w:rFonts w:ascii="Verdana" w:hAnsi="Verdana" w:cs="Arial"/>
          <w:sz w:val="20"/>
        </w:rPr>
        <w:t xml:space="preserve">ci otwarcia </w:t>
      </w:r>
      <w:r w:rsidRPr="005B01AF">
        <w:rPr>
          <w:rFonts w:ascii="Verdana" w:hAnsi="Verdana" w:cs="Arial"/>
          <w:sz w:val="20"/>
        </w:rPr>
        <w:t>indeks</w:t>
      </w:r>
      <w:r w:rsidR="00F450D5">
        <w:rPr>
          <w:rFonts w:ascii="Verdana" w:hAnsi="Verdana" w:cs="Arial"/>
          <w:sz w:val="20"/>
        </w:rPr>
        <w:t>u</w:t>
      </w:r>
      <w:r w:rsidRPr="005B01AF">
        <w:rPr>
          <w:rFonts w:ascii="Verdana" w:hAnsi="Verdana" w:cs="Arial"/>
          <w:sz w:val="20"/>
        </w:rPr>
        <w:t xml:space="preserve">, zamknięcia </w:t>
      </w:r>
      <w:r w:rsidR="00F450D5">
        <w:rPr>
          <w:rFonts w:ascii="Verdana" w:hAnsi="Verdana" w:cs="Arial"/>
          <w:sz w:val="20"/>
        </w:rPr>
        <w:t xml:space="preserve">indeksu </w:t>
      </w:r>
      <w:r w:rsidRPr="005B01AF">
        <w:rPr>
          <w:rFonts w:ascii="Verdana" w:hAnsi="Verdana" w:cs="Arial"/>
          <w:sz w:val="20"/>
        </w:rPr>
        <w:t xml:space="preserve">oraz dziennego maksimum </w:t>
      </w:r>
      <w:r w:rsidR="00F450D5">
        <w:rPr>
          <w:rFonts w:ascii="Verdana" w:hAnsi="Verdana" w:cs="Arial"/>
          <w:sz w:val="20"/>
        </w:rPr>
        <w:t xml:space="preserve">i </w:t>
      </w:r>
      <w:r w:rsidRPr="005B01AF">
        <w:rPr>
          <w:rFonts w:ascii="Verdana" w:hAnsi="Verdana" w:cs="Arial"/>
          <w:sz w:val="20"/>
        </w:rPr>
        <w:t>minimum</w:t>
      </w:r>
      <w:r w:rsidR="00F450D5">
        <w:rPr>
          <w:rFonts w:ascii="Verdana" w:hAnsi="Verdana" w:cs="Arial"/>
          <w:sz w:val="20"/>
        </w:rPr>
        <w:t xml:space="preserve"> </w:t>
      </w:r>
      <w:r w:rsidR="000351DA">
        <w:rPr>
          <w:rFonts w:ascii="Verdana" w:hAnsi="Verdana" w:cs="Arial"/>
          <w:sz w:val="20"/>
        </w:rPr>
        <w:t xml:space="preserve">tego </w:t>
      </w:r>
      <w:r w:rsidR="00F450D5">
        <w:rPr>
          <w:rFonts w:ascii="Verdana" w:hAnsi="Verdana" w:cs="Arial"/>
          <w:sz w:val="20"/>
        </w:rPr>
        <w:t>indeksu</w:t>
      </w:r>
      <w:r w:rsidRPr="005B01AF">
        <w:rPr>
          <w:rFonts w:ascii="Verdana" w:hAnsi="Verdana" w:cs="Arial"/>
          <w:sz w:val="20"/>
        </w:rPr>
        <w:t>. W trakcie sesji giełdowej Giełda nie dokonuje powtórnego obliczania i</w:t>
      </w:r>
      <w:r w:rsidR="00394A6B">
        <w:rPr>
          <w:rFonts w:ascii="Verdana" w:hAnsi="Verdana" w:cs="Arial"/>
          <w:sz w:val="20"/>
        </w:rPr>
        <w:t> </w:t>
      </w:r>
      <w:r w:rsidRPr="005B01AF">
        <w:rPr>
          <w:rFonts w:ascii="Verdana" w:hAnsi="Verdana" w:cs="Arial"/>
          <w:sz w:val="20"/>
        </w:rPr>
        <w:t>publikacji</w:t>
      </w:r>
      <w:r w:rsidR="00F450D5">
        <w:rPr>
          <w:rFonts w:ascii="Verdana" w:hAnsi="Verdana" w:cs="Arial"/>
          <w:sz w:val="20"/>
        </w:rPr>
        <w:t xml:space="preserve"> wartości indeksu</w:t>
      </w:r>
      <w:r w:rsidR="005B3E06" w:rsidRPr="005B3E06">
        <w:rPr>
          <w:rFonts w:ascii="Verdana" w:hAnsi="Verdana" w:cs="Arial"/>
          <w:sz w:val="20"/>
          <w:szCs w:val="20"/>
        </w:rPr>
        <w:t xml:space="preserve"> </w:t>
      </w:r>
      <w:r w:rsidR="005B3E06" w:rsidRPr="008638D5">
        <w:rPr>
          <w:rFonts w:ascii="Verdana" w:hAnsi="Verdana" w:cs="Arial"/>
          <w:sz w:val="20"/>
          <w:szCs w:val="20"/>
        </w:rPr>
        <w:t>WIG-ESG</w:t>
      </w:r>
      <w:r w:rsidRPr="005B01AF">
        <w:rPr>
          <w:rFonts w:ascii="Verdana" w:hAnsi="Verdana" w:cs="Arial"/>
          <w:sz w:val="20"/>
        </w:rPr>
        <w:t>.</w:t>
      </w:r>
    </w:p>
    <w:p w14:paraId="43C12B31" w14:textId="77777777" w:rsidR="00D14DBE" w:rsidRPr="006B6FE9" w:rsidRDefault="00D14DBE" w:rsidP="004B7AEB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D14DBE" w:rsidRPr="006B6FE9" w:rsidSect="005E1474">
      <w:footerReference w:type="default" r:id="rId10"/>
      <w:pgSz w:w="11906" w:h="16838"/>
      <w:pgMar w:top="1701" w:right="1701" w:bottom="1701" w:left="1701" w:header="708" w:footer="708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FC00FA" w16cid:durableId="20F79F6A"/>
  <w16cid:commentId w16cid:paraId="7FB6BACC" w16cid:durableId="20F7A6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823C8" w14:textId="77777777" w:rsidR="003959AD" w:rsidRDefault="003959AD" w:rsidP="00C51521">
      <w:pPr>
        <w:spacing w:after="0" w:line="240" w:lineRule="auto"/>
      </w:pPr>
      <w:r>
        <w:separator/>
      </w:r>
    </w:p>
  </w:endnote>
  <w:endnote w:type="continuationSeparator" w:id="0">
    <w:p w14:paraId="6927AA30" w14:textId="77777777" w:rsidR="003959AD" w:rsidRDefault="003959AD" w:rsidP="00C5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er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8"/>
        <w:szCs w:val="18"/>
      </w:rPr>
      <w:id w:val="10773643"/>
      <w:docPartObj>
        <w:docPartGallery w:val="Page Numbers (Bottom of Page)"/>
        <w:docPartUnique/>
      </w:docPartObj>
    </w:sdtPr>
    <w:sdtEndPr/>
    <w:sdtContent>
      <w:p w14:paraId="01029B31" w14:textId="2EA725F4" w:rsidR="00260D06" w:rsidRPr="008B4509" w:rsidRDefault="008B4509" w:rsidP="008B4509">
        <w:pPr>
          <w:pStyle w:val="Stopka"/>
          <w:jc w:val="center"/>
          <w:rPr>
            <w:rFonts w:ascii="Verdana" w:hAnsi="Verdana"/>
            <w:sz w:val="18"/>
            <w:szCs w:val="18"/>
          </w:rPr>
        </w:pPr>
        <w:r w:rsidRPr="008B4509">
          <w:rPr>
            <w:rFonts w:ascii="Verdana" w:hAnsi="Verdana"/>
            <w:sz w:val="18"/>
            <w:szCs w:val="18"/>
          </w:rPr>
          <w:t xml:space="preserve">- </w:t>
        </w:r>
        <w:r w:rsidR="002174B9" w:rsidRPr="008B4509">
          <w:rPr>
            <w:rFonts w:ascii="Verdana" w:hAnsi="Verdana"/>
            <w:noProof/>
            <w:sz w:val="18"/>
            <w:szCs w:val="18"/>
          </w:rPr>
          <w:fldChar w:fldCharType="begin"/>
        </w:r>
        <w:r w:rsidR="002174B9" w:rsidRPr="008B4509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="002174B9" w:rsidRPr="008B4509">
          <w:rPr>
            <w:rFonts w:ascii="Verdana" w:hAnsi="Verdana"/>
            <w:noProof/>
            <w:sz w:val="18"/>
            <w:szCs w:val="18"/>
          </w:rPr>
          <w:fldChar w:fldCharType="separate"/>
        </w:r>
        <w:r w:rsidR="00B87792">
          <w:rPr>
            <w:rFonts w:ascii="Verdana" w:hAnsi="Verdana"/>
            <w:noProof/>
            <w:sz w:val="18"/>
            <w:szCs w:val="18"/>
          </w:rPr>
          <w:t>2</w:t>
        </w:r>
        <w:r w:rsidR="002174B9" w:rsidRPr="008B4509">
          <w:rPr>
            <w:rFonts w:ascii="Verdana" w:hAnsi="Verdana"/>
            <w:noProof/>
            <w:sz w:val="18"/>
            <w:szCs w:val="18"/>
          </w:rPr>
          <w:fldChar w:fldCharType="end"/>
        </w:r>
        <w:r w:rsidRPr="008B4509">
          <w:rPr>
            <w:rFonts w:ascii="Verdana" w:hAnsi="Verdana"/>
            <w:noProof/>
            <w:sz w:val="18"/>
            <w:szCs w:val="18"/>
          </w:rPr>
          <w:t xml:space="preserve"> -</w:t>
        </w:r>
      </w:p>
    </w:sdtContent>
  </w:sdt>
  <w:p w14:paraId="5C086AC2" w14:textId="77777777" w:rsidR="00260D06" w:rsidRDefault="00260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78EE7" w14:textId="77777777" w:rsidR="003959AD" w:rsidRDefault="003959AD" w:rsidP="00C51521">
      <w:pPr>
        <w:spacing w:after="0" w:line="240" w:lineRule="auto"/>
      </w:pPr>
      <w:r>
        <w:separator/>
      </w:r>
    </w:p>
  </w:footnote>
  <w:footnote w:type="continuationSeparator" w:id="0">
    <w:p w14:paraId="122E399A" w14:textId="77777777" w:rsidR="003959AD" w:rsidRDefault="003959AD" w:rsidP="00C5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5F9"/>
    <w:multiLevelType w:val="hybridMultilevel"/>
    <w:tmpl w:val="B6102838"/>
    <w:lvl w:ilvl="0" w:tplc="5378A6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1" w:tplc="7B3408C2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AC008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334D08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A4021"/>
    <w:multiLevelType w:val="hybridMultilevel"/>
    <w:tmpl w:val="82F0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12CF"/>
    <w:multiLevelType w:val="hybridMultilevel"/>
    <w:tmpl w:val="7696C8C2"/>
    <w:lvl w:ilvl="0" w:tplc="5378A6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1" w:tplc="7B3408C2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AC008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041C2"/>
    <w:multiLevelType w:val="hybridMultilevel"/>
    <w:tmpl w:val="08F866EA"/>
    <w:lvl w:ilvl="0" w:tplc="5378A6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1" w:tplc="7B3408C2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94AC008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A1E0F"/>
    <w:multiLevelType w:val="hybridMultilevel"/>
    <w:tmpl w:val="9CC6E92E"/>
    <w:lvl w:ilvl="0" w:tplc="3334D0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DD463C"/>
    <w:multiLevelType w:val="hybridMultilevel"/>
    <w:tmpl w:val="1A020574"/>
    <w:lvl w:ilvl="0" w:tplc="4622E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C90E40"/>
    <w:multiLevelType w:val="hybridMultilevel"/>
    <w:tmpl w:val="A4B0632C"/>
    <w:lvl w:ilvl="0" w:tplc="4810E0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68D"/>
    <w:multiLevelType w:val="hybridMultilevel"/>
    <w:tmpl w:val="DDA827F6"/>
    <w:lvl w:ilvl="0" w:tplc="72A809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FB629CE4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AC008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85255E"/>
    <w:multiLevelType w:val="hybridMultilevel"/>
    <w:tmpl w:val="A0E03E32"/>
    <w:lvl w:ilvl="0" w:tplc="04150011">
      <w:start w:val="1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2E7029F3"/>
    <w:multiLevelType w:val="hybridMultilevel"/>
    <w:tmpl w:val="F8C2F2B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0915B94"/>
    <w:multiLevelType w:val="hybridMultilevel"/>
    <w:tmpl w:val="E89427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F90EEB"/>
    <w:multiLevelType w:val="hybridMultilevel"/>
    <w:tmpl w:val="F9A6F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F2325"/>
    <w:multiLevelType w:val="multilevel"/>
    <w:tmpl w:val="C19C09E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8D86A0B"/>
    <w:multiLevelType w:val="hybridMultilevel"/>
    <w:tmpl w:val="CE2AB2E0"/>
    <w:lvl w:ilvl="0" w:tplc="7B3408C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081AF2"/>
    <w:multiLevelType w:val="hybridMultilevel"/>
    <w:tmpl w:val="7AD0FA9A"/>
    <w:lvl w:ilvl="0" w:tplc="5378A6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1" w:tplc="7B3408C2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AC008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334D08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8109D2"/>
    <w:multiLevelType w:val="hybridMultilevel"/>
    <w:tmpl w:val="363296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9646D"/>
    <w:multiLevelType w:val="multilevel"/>
    <w:tmpl w:val="F73E85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48B1133"/>
    <w:multiLevelType w:val="hybridMultilevel"/>
    <w:tmpl w:val="D258314E"/>
    <w:lvl w:ilvl="0" w:tplc="4D923E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5211AAD"/>
    <w:multiLevelType w:val="multilevel"/>
    <w:tmpl w:val="1C5688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BAD3DA2"/>
    <w:multiLevelType w:val="hybridMultilevel"/>
    <w:tmpl w:val="6EDED6DE"/>
    <w:lvl w:ilvl="0" w:tplc="53D2F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904B6"/>
    <w:multiLevelType w:val="hybridMultilevel"/>
    <w:tmpl w:val="E2487E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B4208F"/>
    <w:multiLevelType w:val="hybridMultilevel"/>
    <w:tmpl w:val="78747488"/>
    <w:lvl w:ilvl="0" w:tplc="1BE8F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7F2E20"/>
    <w:multiLevelType w:val="multilevel"/>
    <w:tmpl w:val="61B0F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BA97542"/>
    <w:multiLevelType w:val="multilevel"/>
    <w:tmpl w:val="6166F2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E2A18D3"/>
    <w:multiLevelType w:val="hybridMultilevel"/>
    <w:tmpl w:val="BA20D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8A1315"/>
    <w:multiLevelType w:val="hybridMultilevel"/>
    <w:tmpl w:val="55E6ADEC"/>
    <w:lvl w:ilvl="0" w:tplc="D82EE5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2"/>
  </w:num>
  <w:num w:numId="5">
    <w:abstractNumId w:val="18"/>
  </w:num>
  <w:num w:numId="6">
    <w:abstractNumId w:val="23"/>
  </w:num>
  <w:num w:numId="7">
    <w:abstractNumId w:val="16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19"/>
  </w:num>
  <w:num w:numId="13">
    <w:abstractNumId w:val="5"/>
  </w:num>
  <w:num w:numId="14">
    <w:abstractNumId w:val="21"/>
  </w:num>
  <w:num w:numId="15">
    <w:abstractNumId w:val="6"/>
  </w:num>
  <w:num w:numId="16">
    <w:abstractNumId w:val="8"/>
  </w:num>
  <w:num w:numId="17">
    <w:abstractNumId w:val="25"/>
  </w:num>
  <w:num w:numId="18">
    <w:abstractNumId w:val="2"/>
  </w:num>
  <w:num w:numId="19">
    <w:abstractNumId w:val="14"/>
  </w:num>
  <w:num w:numId="20">
    <w:abstractNumId w:val="1"/>
  </w:num>
  <w:num w:numId="21">
    <w:abstractNumId w:val="3"/>
  </w:num>
  <w:num w:numId="22">
    <w:abstractNumId w:val="0"/>
  </w:num>
  <w:num w:numId="23">
    <w:abstractNumId w:val="24"/>
  </w:num>
  <w:num w:numId="24">
    <w:abstractNumId w:val="20"/>
  </w:num>
  <w:num w:numId="25">
    <w:abstractNumId w:val="4"/>
  </w:num>
  <w:num w:numId="26">
    <w:abstractNumId w:val="1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7E"/>
    <w:rsid w:val="00010D3E"/>
    <w:rsid w:val="00012A44"/>
    <w:rsid w:val="00012CE2"/>
    <w:rsid w:val="0002475B"/>
    <w:rsid w:val="000351DA"/>
    <w:rsid w:val="00042C3A"/>
    <w:rsid w:val="00044DAD"/>
    <w:rsid w:val="00080772"/>
    <w:rsid w:val="00083832"/>
    <w:rsid w:val="00094E58"/>
    <w:rsid w:val="0009601B"/>
    <w:rsid w:val="00096F5F"/>
    <w:rsid w:val="000A2089"/>
    <w:rsid w:val="000B328C"/>
    <w:rsid w:val="000B3767"/>
    <w:rsid w:val="000C2EDB"/>
    <w:rsid w:val="000C5285"/>
    <w:rsid w:val="000E591D"/>
    <w:rsid w:val="000E7B8C"/>
    <w:rsid w:val="000F1917"/>
    <w:rsid w:val="000F373E"/>
    <w:rsid w:val="0010107A"/>
    <w:rsid w:val="00102FA7"/>
    <w:rsid w:val="00120E71"/>
    <w:rsid w:val="00120E7B"/>
    <w:rsid w:val="001308D6"/>
    <w:rsid w:val="001430AD"/>
    <w:rsid w:val="0017637B"/>
    <w:rsid w:val="00177E78"/>
    <w:rsid w:val="001800A8"/>
    <w:rsid w:val="00195F33"/>
    <w:rsid w:val="001A17CA"/>
    <w:rsid w:val="001A3D6A"/>
    <w:rsid w:val="001A452F"/>
    <w:rsid w:val="001B158D"/>
    <w:rsid w:val="001B3369"/>
    <w:rsid w:val="001B35A1"/>
    <w:rsid w:val="001B3F73"/>
    <w:rsid w:val="001C0C87"/>
    <w:rsid w:val="001C3036"/>
    <w:rsid w:val="001C331E"/>
    <w:rsid w:val="001D0226"/>
    <w:rsid w:val="001D4AEB"/>
    <w:rsid w:val="001E24DE"/>
    <w:rsid w:val="001E467A"/>
    <w:rsid w:val="001E613D"/>
    <w:rsid w:val="001F2A43"/>
    <w:rsid w:val="001F2C32"/>
    <w:rsid w:val="001F2D42"/>
    <w:rsid w:val="002059D6"/>
    <w:rsid w:val="002174B9"/>
    <w:rsid w:val="0023594E"/>
    <w:rsid w:val="00241ABC"/>
    <w:rsid w:val="00247092"/>
    <w:rsid w:val="002508B6"/>
    <w:rsid w:val="00251DD6"/>
    <w:rsid w:val="002574E5"/>
    <w:rsid w:val="00260D06"/>
    <w:rsid w:val="00273F8D"/>
    <w:rsid w:val="00291F24"/>
    <w:rsid w:val="00296CFF"/>
    <w:rsid w:val="002A185E"/>
    <w:rsid w:val="002A24DC"/>
    <w:rsid w:val="002A2AD2"/>
    <w:rsid w:val="002A6581"/>
    <w:rsid w:val="002C4822"/>
    <w:rsid w:val="002C7AF8"/>
    <w:rsid w:val="002D7CA3"/>
    <w:rsid w:val="002E4E97"/>
    <w:rsid w:val="002F04FE"/>
    <w:rsid w:val="002F2F9A"/>
    <w:rsid w:val="002F3133"/>
    <w:rsid w:val="002F449A"/>
    <w:rsid w:val="002F4AF6"/>
    <w:rsid w:val="002F6E58"/>
    <w:rsid w:val="002F7B56"/>
    <w:rsid w:val="003002C3"/>
    <w:rsid w:val="003015A2"/>
    <w:rsid w:val="00307251"/>
    <w:rsid w:val="0031700B"/>
    <w:rsid w:val="00322C22"/>
    <w:rsid w:val="00325273"/>
    <w:rsid w:val="00335648"/>
    <w:rsid w:val="00336211"/>
    <w:rsid w:val="00344F95"/>
    <w:rsid w:val="00345D8A"/>
    <w:rsid w:val="00346753"/>
    <w:rsid w:val="00350FCD"/>
    <w:rsid w:val="00355660"/>
    <w:rsid w:val="00361FD4"/>
    <w:rsid w:val="00363847"/>
    <w:rsid w:val="003638C3"/>
    <w:rsid w:val="0036565A"/>
    <w:rsid w:val="00372336"/>
    <w:rsid w:val="00382008"/>
    <w:rsid w:val="0038492A"/>
    <w:rsid w:val="00391E65"/>
    <w:rsid w:val="003927DD"/>
    <w:rsid w:val="0039366C"/>
    <w:rsid w:val="00394A6B"/>
    <w:rsid w:val="003959AD"/>
    <w:rsid w:val="003A3782"/>
    <w:rsid w:val="003A4086"/>
    <w:rsid w:val="003A474C"/>
    <w:rsid w:val="003B2595"/>
    <w:rsid w:val="003B4E01"/>
    <w:rsid w:val="003B52F1"/>
    <w:rsid w:val="003B5E01"/>
    <w:rsid w:val="003C0802"/>
    <w:rsid w:val="003C6C14"/>
    <w:rsid w:val="003E7100"/>
    <w:rsid w:val="003F1743"/>
    <w:rsid w:val="003F5C0E"/>
    <w:rsid w:val="00405631"/>
    <w:rsid w:val="0041567C"/>
    <w:rsid w:val="00416C5E"/>
    <w:rsid w:val="004177FC"/>
    <w:rsid w:val="00425674"/>
    <w:rsid w:val="00430127"/>
    <w:rsid w:val="00436BD7"/>
    <w:rsid w:val="00442A56"/>
    <w:rsid w:val="00442C36"/>
    <w:rsid w:val="00442F4C"/>
    <w:rsid w:val="00454019"/>
    <w:rsid w:val="0046018D"/>
    <w:rsid w:val="00462BAC"/>
    <w:rsid w:val="00463095"/>
    <w:rsid w:val="00467289"/>
    <w:rsid w:val="00467B9F"/>
    <w:rsid w:val="00470771"/>
    <w:rsid w:val="00491685"/>
    <w:rsid w:val="0049651B"/>
    <w:rsid w:val="0049665D"/>
    <w:rsid w:val="00497A76"/>
    <w:rsid w:val="004A176F"/>
    <w:rsid w:val="004A3BE2"/>
    <w:rsid w:val="004B629C"/>
    <w:rsid w:val="004B7AEB"/>
    <w:rsid w:val="004E1B25"/>
    <w:rsid w:val="004F23B3"/>
    <w:rsid w:val="004F6F38"/>
    <w:rsid w:val="0050390A"/>
    <w:rsid w:val="00506D27"/>
    <w:rsid w:val="00510F92"/>
    <w:rsid w:val="00533F68"/>
    <w:rsid w:val="0053558E"/>
    <w:rsid w:val="00544F52"/>
    <w:rsid w:val="00565EDF"/>
    <w:rsid w:val="00566EB9"/>
    <w:rsid w:val="00576D57"/>
    <w:rsid w:val="0059000E"/>
    <w:rsid w:val="005A00A7"/>
    <w:rsid w:val="005A340D"/>
    <w:rsid w:val="005B01AF"/>
    <w:rsid w:val="005B0732"/>
    <w:rsid w:val="005B220F"/>
    <w:rsid w:val="005B3E06"/>
    <w:rsid w:val="005B67F3"/>
    <w:rsid w:val="005E0DAC"/>
    <w:rsid w:val="005E1474"/>
    <w:rsid w:val="005F162C"/>
    <w:rsid w:val="005F4508"/>
    <w:rsid w:val="00604C49"/>
    <w:rsid w:val="00611003"/>
    <w:rsid w:val="00625D16"/>
    <w:rsid w:val="006268F6"/>
    <w:rsid w:val="00632909"/>
    <w:rsid w:val="006342F8"/>
    <w:rsid w:val="00641D43"/>
    <w:rsid w:val="006432FD"/>
    <w:rsid w:val="00647F57"/>
    <w:rsid w:val="00655A8D"/>
    <w:rsid w:val="00657778"/>
    <w:rsid w:val="006702DA"/>
    <w:rsid w:val="0067700A"/>
    <w:rsid w:val="00677687"/>
    <w:rsid w:val="00680278"/>
    <w:rsid w:val="00680852"/>
    <w:rsid w:val="006B6FE9"/>
    <w:rsid w:val="006C2F16"/>
    <w:rsid w:val="006C4ADB"/>
    <w:rsid w:val="006C5604"/>
    <w:rsid w:val="006D1E45"/>
    <w:rsid w:val="006D4412"/>
    <w:rsid w:val="006D5239"/>
    <w:rsid w:val="006D5ADF"/>
    <w:rsid w:val="006E4B19"/>
    <w:rsid w:val="006E7FF2"/>
    <w:rsid w:val="006F4BAD"/>
    <w:rsid w:val="00714120"/>
    <w:rsid w:val="00722736"/>
    <w:rsid w:val="007301C1"/>
    <w:rsid w:val="00732984"/>
    <w:rsid w:val="00733FB4"/>
    <w:rsid w:val="00736DAD"/>
    <w:rsid w:val="007418B0"/>
    <w:rsid w:val="00782A40"/>
    <w:rsid w:val="007842EE"/>
    <w:rsid w:val="00790B49"/>
    <w:rsid w:val="007C0054"/>
    <w:rsid w:val="007C0271"/>
    <w:rsid w:val="007E0A5C"/>
    <w:rsid w:val="007F1FC6"/>
    <w:rsid w:val="007F5393"/>
    <w:rsid w:val="008005C9"/>
    <w:rsid w:val="00804BE9"/>
    <w:rsid w:val="0081194E"/>
    <w:rsid w:val="008142F9"/>
    <w:rsid w:val="00816B73"/>
    <w:rsid w:val="0082058B"/>
    <w:rsid w:val="00820640"/>
    <w:rsid w:val="00832A33"/>
    <w:rsid w:val="00832A46"/>
    <w:rsid w:val="00832B8B"/>
    <w:rsid w:val="00844F6B"/>
    <w:rsid w:val="00850DE7"/>
    <w:rsid w:val="00852160"/>
    <w:rsid w:val="008638D5"/>
    <w:rsid w:val="00864118"/>
    <w:rsid w:val="008771C6"/>
    <w:rsid w:val="00880136"/>
    <w:rsid w:val="00884820"/>
    <w:rsid w:val="00886824"/>
    <w:rsid w:val="008A5EC4"/>
    <w:rsid w:val="008B03E9"/>
    <w:rsid w:val="008B4509"/>
    <w:rsid w:val="008B5726"/>
    <w:rsid w:val="008E195F"/>
    <w:rsid w:val="008F0C3A"/>
    <w:rsid w:val="008F140B"/>
    <w:rsid w:val="008F4E12"/>
    <w:rsid w:val="009021A4"/>
    <w:rsid w:val="0092568D"/>
    <w:rsid w:val="009263BA"/>
    <w:rsid w:val="0093491E"/>
    <w:rsid w:val="00936652"/>
    <w:rsid w:val="00937705"/>
    <w:rsid w:val="00937B1A"/>
    <w:rsid w:val="00940FDD"/>
    <w:rsid w:val="009436B1"/>
    <w:rsid w:val="00947EFA"/>
    <w:rsid w:val="00950C44"/>
    <w:rsid w:val="00951C5C"/>
    <w:rsid w:val="00953550"/>
    <w:rsid w:val="00957C73"/>
    <w:rsid w:val="00973008"/>
    <w:rsid w:val="00983E33"/>
    <w:rsid w:val="00996424"/>
    <w:rsid w:val="00997A98"/>
    <w:rsid w:val="009A0CA9"/>
    <w:rsid w:val="009A3714"/>
    <w:rsid w:val="009A48D6"/>
    <w:rsid w:val="009B1A60"/>
    <w:rsid w:val="009B3282"/>
    <w:rsid w:val="009B38FD"/>
    <w:rsid w:val="009D149A"/>
    <w:rsid w:val="009E0CB0"/>
    <w:rsid w:val="009E7177"/>
    <w:rsid w:val="00A109DE"/>
    <w:rsid w:val="00A12917"/>
    <w:rsid w:val="00A12A28"/>
    <w:rsid w:val="00A14316"/>
    <w:rsid w:val="00A16D22"/>
    <w:rsid w:val="00A20E23"/>
    <w:rsid w:val="00A353DD"/>
    <w:rsid w:val="00A72019"/>
    <w:rsid w:val="00A7487E"/>
    <w:rsid w:val="00A74B8C"/>
    <w:rsid w:val="00A77B8D"/>
    <w:rsid w:val="00A955F8"/>
    <w:rsid w:val="00A975DE"/>
    <w:rsid w:val="00AA67BE"/>
    <w:rsid w:val="00AB22C1"/>
    <w:rsid w:val="00AB7F75"/>
    <w:rsid w:val="00AC1F44"/>
    <w:rsid w:val="00AC277A"/>
    <w:rsid w:val="00AD681C"/>
    <w:rsid w:val="00B2336E"/>
    <w:rsid w:val="00B235A5"/>
    <w:rsid w:val="00B32910"/>
    <w:rsid w:val="00B415F8"/>
    <w:rsid w:val="00B47862"/>
    <w:rsid w:val="00B51A7E"/>
    <w:rsid w:val="00B55012"/>
    <w:rsid w:val="00B55375"/>
    <w:rsid w:val="00B55C34"/>
    <w:rsid w:val="00B630B6"/>
    <w:rsid w:val="00B71484"/>
    <w:rsid w:val="00B87792"/>
    <w:rsid w:val="00B9097F"/>
    <w:rsid w:val="00B909BE"/>
    <w:rsid w:val="00BA0CF5"/>
    <w:rsid w:val="00BA629C"/>
    <w:rsid w:val="00BB7606"/>
    <w:rsid w:val="00BD149E"/>
    <w:rsid w:val="00BD3193"/>
    <w:rsid w:val="00BD7241"/>
    <w:rsid w:val="00BE4F62"/>
    <w:rsid w:val="00BF27B6"/>
    <w:rsid w:val="00BF6E40"/>
    <w:rsid w:val="00BF7DE5"/>
    <w:rsid w:val="00C16CCC"/>
    <w:rsid w:val="00C2171E"/>
    <w:rsid w:val="00C25CF2"/>
    <w:rsid w:val="00C273AF"/>
    <w:rsid w:val="00C303D3"/>
    <w:rsid w:val="00C31E18"/>
    <w:rsid w:val="00C33C9E"/>
    <w:rsid w:val="00C420C0"/>
    <w:rsid w:val="00C4312A"/>
    <w:rsid w:val="00C46770"/>
    <w:rsid w:val="00C51521"/>
    <w:rsid w:val="00C56015"/>
    <w:rsid w:val="00C57432"/>
    <w:rsid w:val="00C6209F"/>
    <w:rsid w:val="00C650A9"/>
    <w:rsid w:val="00C66E05"/>
    <w:rsid w:val="00C8295D"/>
    <w:rsid w:val="00C97DF8"/>
    <w:rsid w:val="00CA5640"/>
    <w:rsid w:val="00CA5AAC"/>
    <w:rsid w:val="00CB1DBB"/>
    <w:rsid w:val="00CB523F"/>
    <w:rsid w:val="00CC2C28"/>
    <w:rsid w:val="00CC33F3"/>
    <w:rsid w:val="00CC523B"/>
    <w:rsid w:val="00CC725A"/>
    <w:rsid w:val="00CE4F9E"/>
    <w:rsid w:val="00CE5012"/>
    <w:rsid w:val="00CF0A2C"/>
    <w:rsid w:val="00CF728A"/>
    <w:rsid w:val="00D058BC"/>
    <w:rsid w:val="00D14DBE"/>
    <w:rsid w:val="00D21197"/>
    <w:rsid w:val="00D34220"/>
    <w:rsid w:val="00D3451D"/>
    <w:rsid w:val="00D54723"/>
    <w:rsid w:val="00D55479"/>
    <w:rsid w:val="00D64862"/>
    <w:rsid w:val="00D73BC6"/>
    <w:rsid w:val="00D8019B"/>
    <w:rsid w:val="00DC2707"/>
    <w:rsid w:val="00DC6672"/>
    <w:rsid w:val="00DD3594"/>
    <w:rsid w:val="00DD60FA"/>
    <w:rsid w:val="00DE0B7E"/>
    <w:rsid w:val="00E01588"/>
    <w:rsid w:val="00E02890"/>
    <w:rsid w:val="00E06178"/>
    <w:rsid w:val="00E4165D"/>
    <w:rsid w:val="00E55A9C"/>
    <w:rsid w:val="00E67209"/>
    <w:rsid w:val="00E72E81"/>
    <w:rsid w:val="00E75BBF"/>
    <w:rsid w:val="00E80CF1"/>
    <w:rsid w:val="00E813A2"/>
    <w:rsid w:val="00E90390"/>
    <w:rsid w:val="00EA5B0B"/>
    <w:rsid w:val="00EB051C"/>
    <w:rsid w:val="00EB0E45"/>
    <w:rsid w:val="00EB3C4C"/>
    <w:rsid w:val="00EB6529"/>
    <w:rsid w:val="00EC7ACD"/>
    <w:rsid w:val="00EE7601"/>
    <w:rsid w:val="00EF47CB"/>
    <w:rsid w:val="00F070F0"/>
    <w:rsid w:val="00F10FBE"/>
    <w:rsid w:val="00F151CF"/>
    <w:rsid w:val="00F2377E"/>
    <w:rsid w:val="00F24EA1"/>
    <w:rsid w:val="00F27AE9"/>
    <w:rsid w:val="00F338C7"/>
    <w:rsid w:val="00F41630"/>
    <w:rsid w:val="00F450D5"/>
    <w:rsid w:val="00F467A0"/>
    <w:rsid w:val="00F54DD4"/>
    <w:rsid w:val="00F55162"/>
    <w:rsid w:val="00F56C9B"/>
    <w:rsid w:val="00F57273"/>
    <w:rsid w:val="00F703ED"/>
    <w:rsid w:val="00F742D7"/>
    <w:rsid w:val="00F762F6"/>
    <w:rsid w:val="00F85F94"/>
    <w:rsid w:val="00F860CD"/>
    <w:rsid w:val="00F91596"/>
    <w:rsid w:val="00F95AFF"/>
    <w:rsid w:val="00FB49FE"/>
    <w:rsid w:val="00FC0B98"/>
    <w:rsid w:val="00FC2F6D"/>
    <w:rsid w:val="00FD4621"/>
    <w:rsid w:val="00FE5CB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248F8B61"/>
  <w15:docId w15:val="{8F116E39-388B-40FC-B265-FBDD1FBC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sz w:val="22"/>
        <w:szCs w:val="22"/>
        <w:lang w:val="pl-PL" w:eastAsia="pl-PL" w:bidi="ar-SA"/>
      </w:rPr>
    </w:rPrDefault>
    <w:pPrDefault>
      <w:pPr>
        <w:spacing w:after="120" w:line="360" w:lineRule="auto"/>
        <w:ind w:left="425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CB0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1521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1521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5152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51521"/>
    <w:rPr>
      <w:rFonts w:eastAsia="Times New Roman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51521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51521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51521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51521"/>
    <w:rPr>
      <w:rFonts w:eastAsia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5152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eastAsia="Times New Roman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51521"/>
    <w:rPr>
      <w:rFonts w:eastAsia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5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51521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C5152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9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9159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7C005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00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C0054"/>
    <w:rPr>
      <w:rFonts w:cs="Times New Roman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C00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C0054"/>
    <w:rPr>
      <w:rFonts w:cs="Times New Roman"/>
      <w:b/>
      <w:bCs/>
      <w:lang w:val="pl-PL" w:eastAsia="en-US"/>
    </w:rPr>
  </w:style>
  <w:style w:type="paragraph" w:customStyle="1" w:styleId="Tekstpodstawowy1">
    <w:name w:val="Tekst podstawowy1"/>
    <w:uiPriority w:val="99"/>
    <w:rsid w:val="000F373E"/>
    <w:rPr>
      <w:rFonts w:ascii="Booker" w:eastAsia="Times New Roman" w:hAnsi="Booker"/>
      <w:color w:val="000000"/>
      <w:sz w:val="24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6770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B2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B25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AAC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AA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3F6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19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19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ustainalytics.com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263484a-4811-448b-b935-4ccfcdbbdeea" origin="userSelected">
  <element uid="84c739ec-87d8-488b-9946-0398a66daf81" value=""/>
  <element uid="d9569de3-fae5-4e2d-a5c1-e0a5a3c841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1069-CCCB-4C90-B34C-D39BCD047AA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41BAC8A-DAA3-4D70-A734-4A6D1633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1571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651/2009</vt:lpstr>
    </vt:vector>
  </TitlesOfParts>
  <Company>GPW</Company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651/2009</dc:title>
  <dc:creator>OEM</dc:creator>
  <cp:keywords>#Kategoria: [Publiczne/Nie zawiera danych osobowych]#</cp:keywords>
  <cp:lastModifiedBy>Doliński Krzysztof</cp:lastModifiedBy>
  <cp:revision>2</cp:revision>
  <cp:lastPrinted>2019-08-12T10:19:00Z</cp:lastPrinted>
  <dcterms:created xsi:type="dcterms:W3CDTF">2019-08-13T08:46:00Z</dcterms:created>
  <dcterms:modified xsi:type="dcterms:W3CDTF">2019-08-13T08:46:00Z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1ec149be-dbb2-43da-873d-032b5c34f4bf</vt:lpwstr>
  </property>
  <property fmtid="{D5CDD505-2E9C-101B-9397-08002B2CF9AE}" pid="3" name="bjSaver">
    <vt:lpwstr>7DdhNbGkT0jIt8sNN+B+aJ3gzLtwVy8S</vt:lpwstr>
  </property>
  <property fmtid="{D5CDD505-2E9C-101B-9397-08002B2CF9AE}" pid="4" name="bjDocumentSecurityLabel">
    <vt:lpwstr>Kategoria: Publiczne/Nie zawiera danych osobowych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policy="9263484a-4811-448b-b935-4ccfcdbbdeea" origin="userSelected" xmlns="http://www.boldonj</vt:lpwstr>
  </property>
  <property fmtid="{D5CDD505-2E9C-101B-9397-08002B2CF9AE}" pid="6" name="bjDocumentLabelXML-0">
    <vt:lpwstr>ames.com/2008/01/sie/internal/label"&gt;&lt;element uid="84c739ec-87d8-488b-9946-0398a66daf81" value="" /&gt;&lt;element uid="d9569de3-fae5-4e2d-a5c1-e0a5a3c84173" value="" /&gt;&lt;/sisl&gt;</vt:lpwstr>
  </property>
</Properties>
</file>