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90B2" w14:textId="3AA953FE" w:rsidR="00BC2BD4" w:rsidRPr="007D4D59" w:rsidRDefault="00BC2BD4" w:rsidP="00BC2BD4">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color w:val="000000"/>
          <w:sz w:val="18"/>
          <w:szCs w:val="18"/>
          <w:lang w:val="en-GB"/>
        </w:rPr>
      </w:pPr>
      <w:r w:rsidRPr="007D4D59">
        <w:rPr>
          <w:rFonts w:cs="Arial"/>
          <w:b/>
          <w:color w:val="000000"/>
          <w:sz w:val="18"/>
          <w:szCs w:val="18"/>
          <w:lang w:val="en-GB"/>
        </w:rPr>
        <w:tab/>
      </w:r>
      <w:r w:rsidRPr="007D4D59">
        <w:rPr>
          <w:rFonts w:cs="Arial"/>
          <w:b/>
          <w:color w:val="000000"/>
          <w:sz w:val="18"/>
          <w:szCs w:val="18"/>
          <w:lang w:val="en-GB"/>
        </w:rPr>
        <w:tab/>
      </w:r>
      <w:r w:rsidRPr="007D4D59">
        <w:rPr>
          <w:rFonts w:cs="Arial"/>
          <w:b/>
          <w:color w:val="000000"/>
          <w:sz w:val="18"/>
          <w:szCs w:val="18"/>
          <w:lang w:val="en-GB"/>
        </w:rPr>
        <w:tab/>
      </w:r>
      <w:r w:rsidRPr="007D4D59">
        <w:rPr>
          <w:rFonts w:cs="Arial"/>
          <w:b/>
          <w:color w:val="000000"/>
          <w:sz w:val="18"/>
          <w:szCs w:val="18"/>
          <w:lang w:val="en-GB"/>
        </w:rPr>
        <w:tab/>
        <w:t xml:space="preserve">     </w:t>
      </w:r>
    </w:p>
    <w:p w14:paraId="6A50D66D" w14:textId="77777777" w:rsidR="00BC2BD4" w:rsidRPr="007D4D59" w:rsidRDefault="00BC2BD4" w:rsidP="00BC2BD4">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color w:val="000000"/>
          <w:sz w:val="18"/>
          <w:szCs w:val="18"/>
          <w:lang w:val="en-GB"/>
        </w:rPr>
      </w:pP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p>
    <w:p w14:paraId="4AC7A891" w14:textId="5B98C6E1" w:rsidR="00A26766" w:rsidRPr="007D4D59" w:rsidRDefault="00BC2BD4" w:rsidP="00030702">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line="360" w:lineRule="auto"/>
        <w:rPr>
          <w:rFonts w:cs="Arial"/>
          <w:b/>
          <w:color w:val="000000"/>
          <w:lang w:val="en-GB"/>
        </w:rPr>
      </w:pP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00AF6478" w:rsidRPr="007D4D59">
        <w:rPr>
          <w:rFonts w:cs="Arial"/>
          <w:b/>
          <w:color w:val="000000"/>
          <w:lang w:val="en-GB"/>
        </w:rPr>
        <w:t>T</w:t>
      </w:r>
      <w:r w:rsidRPr="007D4D59">
        <w:rPr>
          <w:rFonts w:cs="Arial"/>
          <w:b/>
          <w:color w:val="000000"/>
          <w:lang w:val="en-GB"/>
        </w:rPr>
        <w:t>o</w:t>
      </w:r>
      <w:r w:rsidR="00A26766" w:rsidRPr="007D4D59">
        <w:rPr>
          <w:rFonts w:cs="Arial"/>
          <w:b/>
          <w:color w:val="000000"/>
          <w:lang w:val="en-GB"/>
        </w:rPr>
        <w:t>:</w:t>
      </w:r>
    </w:p>
    <w:p w14:paraId="1EA2CB45" w14:textId="47D2FEC5" w:rsidR="00BC2BD4" w:rsidRPr="007D4D59" w:rsidRDefault="00A26766" w:rsidP="00030702">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0" w:line="360" w:lineRule="auto"/>
        <w:rPr>
          <w:rFonts w:cs="Arial"/>
          <w:b/>
          <w:color w:val="000000"/>
          <w:lang w:val="en-GB"/>
        </w:rPr>
      </w:pP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00BC2BD4" w:rsidRPr="007D4D59">
        <w:rPr>
          <w:rFonts w:cs="Arial"/>
          <w:b/>
          <w:color w:val="000000"/>
          <w:lang w:val="en-GB"/>
        </w:rPr>
        <w:t xml:space="preserve"> </w:t>
      </w:r>
      <w:r w:rsidRPr="007D4D59">
        <w:rPr>
          <w:rFonts w:cs="Arial"/>
          <w:b/>
          <w:color w:val="000000"/>
          <w:lang w:val="en-GB"/>
        </w:rPr>
        <w:tab/>
      </w:r>
      <w:r w:rsidR="00AF6478" w:rsidRPr="007D4D59">
        <w:rPr>
          <w:rFonts w:cs="Arial"/>
          <w:b/>
          <w:color w:val="000000"/>
          <w:lang w:val="en-GB"/>
        </w:rPr>
        <w:t>Management Board</w:t>
      </w:r>
    </w:p>
    <w:p w14:paraId="665CE3EA" w14:textId="398B4AE8" w:rsidR="00BC2BD4" w:rsidRPr="007D4D59" w:rsidRDefault="00BC2BD4" w:rsidP="00030702">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0" w:line="360" w:lineRule="auto"/>
        <w:rPr>
          <w:rFonts w:cs="Arial"/>
          <w:b/>
          <w:color w:val="000000"/>
          <w:lang w:val="en-GB"/>
        </w:rPr>
      </w:pP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Pr="007D4D59">
        <w:rPr>
          <w:rFonts w:cs="Arial"/>
          <w:b/>
          <w:color w:val="000000"/>
          <w:lang w:val="en-GB"/>
        </w:rPr>
        <w:tab/>
      </w:r>
      <w:r w:rsidR="00AF6478" w:rsidRPr="007D4D59">
        <w:rPr>
          <w:rFonts w:cs="Arial"/>
          <w:b/>
          <w:color w:val="000000"/>
          <w:lang w:val="en-GB"/>
        </w:rPr>
        <w:t>of the Warsaw Stock Exchange</w:t>
      </w:r>
    </w:p>
    <w:p w14:paraId="14A07DA6" w14:textId="77777777" w:rsidR="00BC2BD4" w:rsidRPr="007D4D59" w:rsidRDefault="00BC2BD4" w:rsidP="00BC2BD4">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b/>
          <w:color w:val="000000"/>
          <w:sz w:val="18"/>
          <w:szCs w:val="18"/>
          <w:lang w:val="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409"/>
        <w:gridCol w:w="227"/>
        <w:gridCol w:w="227"/>
        <w:gridCol w:w="227"/>
        <w:gridCol w:w="227"/>
        <w:gridCol w:w="227"/>
        <w:gridCol w:w="227"/>
        <w:gridCol w:w="227"/>
        <w:gridCol w:w="227"/>
        <w:gridCol w:w="227"/>
        <w:gridCol w:w="227"/>
        <w:gridCol w:w="227"/>
        <w:gridCol w:w="3173"/>
      </w:tblGrid>
      <w:tr w:rsidR="00BC2BD4" w:rsidRPr="007D4D59" w14:paraId="63F1A36E" w14:textId="77777777" w:rsidTr="005D4BC3">
        <w:trPr>
          <w:gridAfter w:val="1"/>
          <w:wAfter w:w="3173" w:type="dxa"/>
          <w:cantSplit/>
        </w:trPr>
        <w:tc>
          <w:tcPr>
            <w:tcW w:w="3560" w:type="dxa"/>
            <w:tcBorders>
              <w:top w:val="single" w:sz="4" w:space="0" w:color="auto"/>
              <w:left w:val="nil"/>
              <w:bottom w:val="single" w:sz="4" w:space="0" w:color="auto"/>
              <w:right w:val="nil"/>
            </w:tcBorders>
          </w:tcPr>
          <w:p w14:paraId="6C010386" w14:textId="5FE1BCEA" w:rsidR="00BC2BD4" w:rsidRPr="007D4D59" w:rsidRDefault="00BC2BD4" w:rsidP="005D4BC3">
            <w:pPr>
              <w:tabs>
                <w:tab w:val="left" w:pos="3420"/>
              </w:tabs>
              <w:spacing w:line="360" w:lineRule="auto"/>
              <w:rPr>
                <w:rFonts w:cs="Arial"/>
                <w:sz w:val="18"/>
                <w:szCs w:val="18"/>
                <w:lang w:val="en-GB"/>
              </w:rPr>
            </w:pPr>
            <w:r w:rsidRPr="007D4D59">
              <w:rPr>
                <w:rFonts w:cs="Arial"/>
                <w:sz w:val="18"/>
                <w:szCs w:val="18"/>
                <w:lang w:val="en-GB"/>
              </w:rPr>
              <w:t xml:space="preserve"> </w:t>
            </w:r>
            <w:r w:rsidR="00AF6478" w:rsidRPr="007D4D59">
              <w:rPr>
                <w:rFonts w:cs="Arial"/>
                <w:sz w:val="18"/>
                <w:szCs w:val="18"/>
                <w:lang w:val="en-GB"/>
              </w:rPr>
              <w:t>OPINION DATE</w:t>
            </w:r>
            <w:r w:rsidRPr="007D4D59">
              <w:rPr>
                <w:rFonts w:cs="Arial"/>
                <w:sz w:val="18"/>
                <w:szCs w:val="18"/>
                <w:lang w:val="en-GB"/>
              </w:rPr>
              <w:t>:</w:t>
            </w:r>
          </w:p>
        </w:tc>
        <w:tc>
          <w:tcPr>
            <w:tcW w:w="409" w:type="dxa"/>
            <w:tcBorders>
              <w:top w:val="nil"/>
              <w:left w:val="nil"/>
              <w:bottom w:val="nil"/>
            </w:tcBorders>
          </w:tcPr>
          <w:p w14:paraId="7DF10AAF"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top w:val="single" w:sz="4" w:space="0" w:color="auto"/>
              <w:bottom w:val="single" w:sz="4" w:space="0" w:color="auto"/>
            </w:tcBorders>
          </w:tcPr>
          <w:p w14:paraId="2333E811"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top w:val="single" w:sz="4" w:space="0" w:color="auto"/>
              <w:bottom w:val="single" w:sz="4" w:space="0" w:color="auto"/>
            </w:tcBorders>
          </w:tcPr>
          <w:p w14:paraId="195A9DD5"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top w:val="nil"/>
              <w:bottom w:val="nil"/>
            </w:tcBorders>
            <w:vAlign w:val="center"/>
          </w:tcPr>
          <w:p w14:paraId="4465BD0F" w14:textId="77777777" w:rsidR="00BC2BD4" w:rsidRPr="007D4D59" w:rsidRDefault="00BC2BD4" w:rsidP="005D4BC3">
            <w:pPr>
              <w:tabs>
                <w:tab w:val="left" w:pos="3420"/>
              </w:tabs>
              <w:spacing w:line="360" w:lineRule="auto"/>
              <w:jc w:val="center"/>
              <w:rPr>
                <w:rFonts w:cs="Arial"/>
                <w:sz w:val="18"/>
                <w:szCs w:val="18"/>
                <w:lang w:val="en-GB"/>
              </w:rPr>
            </w:pPr>
            <w:r w:rsidRPr="007D4D59">
              <w:rPr>
                <w:rFonts w:cs="Arial"/>
                <w:sz w:val="18"/>
                <w:szCs w:val="18"/>
                <w:lang w:val="en-GB"/>
              </w:rPr>
              <w:t>-</w:t>
            </w:r>
          </w:p>
        </w:tc>
        <w:tc>
          <w:tcPr>
            <w:tcW w:w="227" w:type="dxa"/>
            <w:tcBorders>
              <w:top w:val="single" w:sz="4" w:space="0" w:color="auto"/>
              <w:bottom w:val="single" w:sz="4" w:space="0" w:color="auto"/>
            </w:tcBorders>
          </w:tcPr>
          <w:p w14:paraId="0E12C9A2"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bottom w:val="single" w:sz="4" w:space="0" w:color="auto"/>
            </w:tcBorders>
          </w:tcPr>
          <w:p w14:paraId="01CE15E3"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top w:val="nil"/>
              <w:bottom w:val="nil"/>
            </w:tcBorders>
            <w:vAlign w:val="center"/>
          </w:tcPr>
          <w:p w14:paraId="5A2A4442" w14:textId="77777777" w:rsidR="00BC2BD4" w:rsidRPr="007D4D59" w:rsidRDefault="00BC2BD4" w:rsidP="005D4BC3">
            <w:pPr>
              <w:tabs>
                <w:tab w:val="left" w:pos="3420"/>
              </w:tabs>
              <w:spacing w:line="360" w:lineRule="auto"/>
              <w:jc w:val="center"/>
              <w:rPr>
                <w:rFonts w:cs="Arial"/>
                <w:sz w:val="18"/>
                <w:szCs w:val="18"/>
                <w:lang w:val="en-GB"/>
              </w:rPr>
            </w:pPr>
            <w:r w:rsidRPr="007D4D59">
              <w:rPr>
                <w:rFonts w:cs="Arial"/>
                <w:sz w:val="18"/>
                <w:szCs w:val="18"/>
                <w:lang w:val="en-GB"/>
              </w:rPr>
              <w:t>-</w:t>
            </w:r>
          </w:p>
        </w:tc>
        <w:tc>
          <w:tcPr>
            <w:tcW w:w="227" w:type="dxa"/>
            <w:tcBorders>
              <w:bottom w:val="single" w:sz="4" w:space="0" w:color="auto"/>
            </w:tcBorders>
          </w:tcPr>
          <w:p w14:paraId="22898AEC"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top w:val="single" w:sz="4" w:space="0" w:color="auto"/>
              <w:bottom w:val="single" w:sz="4" w:space="0" w:color="auto"/>
            </w:tcBorders>
          </w:tcPr>
          <w:p w14:paraId="11A33C48" w14:textId="77777777" w:rsidR="00BC2BD4" w:rsidRPr="007D4D59" w:rsidRDefault="00BC2BD4" w:rsidP="005D4BC3">
            <w:pPr>
              <w:tabs>
                <w:tab w:val="left" w:pos="3420"/>
              </w:tabs>
              <w:spacing w:line="360" w:lineRule="auto"/>
              <w:jc w:val="center"/>
              <w:rPr>
                <w:rFonts w:cs="Arial"/>
                <w:sz w:val="18"/>
                <w:szCs w:val="18"/>
                <w:lang w:val="en-GB"/>
              </w:rPr>
            </w:pPr>
          </w:p>
        </w:tc>
        <w:tc>
          <w:tcPr>
            <w:tcW w:w="227" w:type="dxa"/>
            <w:tcBorders>
              <w:bottom w:val="single" w:sz="4" w:space="0" w:color="auto"/>
            </w:tcBorders>
          </w:tcPr>
          <w:p w14:paraId="3E4C40A4"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bottom w:val="single" w:sz="4" w:space="0" w:color="auto"/>
            </w:tcBorders>
          </w:tcPr>
          <w:p w14:paraId="0E58AD0C" w14:textId="77777777" w:rsidR="00BC2BD4" w:rsidRPr="007D4D59" w:rsidRDefault="00BC2BD4" w:rsidP="005D4BC3">
            <w:pPr>
              <w:tabs>
                <w:tab w:val="left" w:pos="3420"/>
              </w:tabs>
              <w:spacing w:line="360" w:lineRule="auto"/>
              <w:rPr>
                <w:rFonts w:cs="Arial"/>
                <w:sz w:val="18"/>
                <w:szCs w:val="18"/>
                <w:lang w:val="en-GB"/>
              </w:rPr>
            </w:pPr>
          </w:p>
        </w:tc>
        <w:tc>
          <w:tcPr>
            <w:tcW w:w="227" w:type="dxa"/>
            <w:tcBorders>
              <w:top w:val="nil"/>
              <w:bottom w:val="nil"/>
              <w:right w:val="nil"/>
            </w:tcBorders>
          </w:tcPr>
          <w:p w14:paraId="7AF35430" w14:textId="489162C2" w:rsidR="00BC2BD4" w:rsidRPr="007D4D59" w:rsidRDefault="00BC2BD4" w:rsidP="005D4BC3">
            <w:pPr>
              <w:tabs>
                <w:tab w:val="left" w:pos="3420"/>
              </w:tabs>
              <w:spacing w:line="360" w:lineRule="auto"/>
              <w:jc w:val="center"/>
              <w:rPr>
                <w:rFonts w:cs="Arial"/>
                <w:sz w:val="18"/>
                <w:szCs w:val="18"/>
                <w:lang w:val="en-GB"/>
              </w:rPr>
            </w:pPr>
          </w:p>
        </w:tc>
      </w:tr>
      <w:tr w:rsidR="00BC2BD4" w:rsidRPr="007D4D59" w14:paraId="4E3BBB35"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cantSplit/>
        </w:trPr>
        <w:tc>
          <w:tcPr>
            <w:tcW w:w="9639" w:type="dxa"/>
            <w:gridSpan w:val="14"/>
          </w:tcPr>
          <w:p w14:paraId="4817A5AD" w14:textId="77777777" w:rsidR="00BC2BD4" w:rsidRPr="007D4D59" w:rsidRDefault="00BC2BD4" w:rsidP="005D4BC3">
            <w:pPr>
              <w:tabs>
                <w:tab w:val="left" w:pos="3420"/>
              </w:tabs>
              <w:spacing w:line="360" w:lineRule="auto"/>
              <w:ind w:right="-720"/>
              <w:rPr>
                <w:rFonts w:cs="Arial"/>
                <w:sz w:val="18"/>
                <w:szCs w:val="18"/>
                <w:lang w:val="en-GB"/>
              </w:rPr>
            </w:pPr>
          </w:p>
        </w:tc>
      </w:tr>
      <w:tr w:rsidR="00BC2BD4" w:rsidRPr="007D4D59" w14:paraId="149226ED"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PrEx>
        <w:trPr>
          <w:cantSplit/>
        </w:trPr>
        <w:tc>
          <w:tcPr>
            <w:tcW w:w="9639" w:type="dxa"/>
            <w:gridSpan w:val="14"/>
            <w:tcBorders>
              <w:top w:val="single" w:sz="4" w:space="0" w:color="auto"/>
              <w:bottom w:val="single" w:sz="4" w:space="0" w:color="auto"/>
            </w:tcBorders>
          </w:tcPr>
          <w:p w14:paraId="6489C687" w14:textId="673B77D8" w:rsidR="00BC2BD4" w:rsidRPr="007D4D59" w:rsidRDefault="00AF6478" w:rsidP="005D4BC3">
            <w:pPr>
              <w:tabs>
                <w:tab w:val="left" w:pos="3420"/>
              </w:tabs>
              <w:spacing w:line="360" w:lineRule="auto"/>
              <w:ind w:right="-720"/>
              <w:rPr>
                <w:rFonts w:cs="Arial"/>
                <w:sz w:val="18"/>
                <w:szCs w:val="18"/>
                <w:lang w:val="en-GB"/>
              </w:rPr>
            </w:pPr>
            <w:r w:rsidRPr="007D4D59">
              <w:rPr>
                <w:rFonts w:cs="Arial"/>
                <w:sz w:val="18"/>
                <w:szCs w:val="18"/>
                <w:lang w:val="en-GB"/>
              </w:rPr>
              <w:t>ISSUED BY</w:t>
            </w:r>
            <w:r w:rsidR="00BC2BD4" w:rsidRPr="007D4D59">
              <w:rPr>
                <w:rFonts w:cs="Arial"/>
                <w:sz w:val="18"/>
                <w:szCs w:val="18"/>
                <w:lang w:val="en-GB"/>
              </w:rPr>
              <w:t>:</w:t>
            </w:r>
          </w:p>
        </w:tc>
      </w:tr>
      <w:tr w:rsidR="00BC2BD4" w:rsidRPr="007D4D59" w14:paraId="0B849FBB"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bottom w:val="single" w:sz="4" w:space="0" w:color="auto"/>
            </w:tcBorders>
          </w:tcPr>
          <w:p w14:paraId="45EC0B91" w14:textId="77777777" w:rsidR="00BC2BD4" w:rsidRPr="007D4D59" w:rsidRDefault="00BC2BD4" w:rsidP="005D4BC3">
            <w:pPr>
              <w:tabs>
                <w:tab w:val="left" w:pos="3420"/>
              </w:tabs>
              <w:spacing w:line="360" w:lineRule="auto"/>
              <w:ind w:right="-720"/>
              <w:rPr>
                <w:rFonts w:cs="Arial"/>
                <w:sz w:val="18"/>
                <w:szCs w:val="18"/>
                <w:lang w:val="en-GB"/>
              </w:rPr>
            </w:pPr>
          </w:p>
        </w:tc>
      </w:tr>
      <w:tr w:rsidR="00BC2BD4" w:rsidRPr="007D4D59" w14:paraId="1C263FB2"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79F08B8B" w14:textId="1CBFE6B4" w:rsidR="00BC2BD4" w:rsidRPr="007D4D59" w:rsidRDefault="00AF6478" w:rsidP="005D4BC3">
            <w:pPr>
              <w:tabs>
                <w:tab w:val="left" w:pos="3420"/>
              </w:tabs>
              <w:spacing w:line="360" w:lineRule="auto"/>
              <w:ind w:right="-720"/>
              <w:rPr>
                <w:rFonts w:cs="Arial"/>
                <w:sz w:val="18"/>
                <w:szCs w:val="18"/>
                <w:lang w:val="en-GB"/>
              </w:rPr>
            </w:pPr>
            <w:r w:rsidRPr="007D4D59">
              <w:rPr>
                <w:rFonts w:cs="Arial"/>
                <w:sz w:val="18"/>
                <w:szCs w:val="18"/>
                <w:lang w:val="en-GB"/>
              </w:rPr>
              <w:t>ISSUER</w:t>
            </w:r>
            <w:r w:rsidR="00BC2BD4" w:rsidRPr="007D4D59">
              <w:rPr>
                <w:rFonts w:cs="Arial"/>
                <w:sz w:val="18"/>
                <w:szCs w:val="18"/>
                <w:lang w:val="en-GB"/>
              </w:rPr>
              <w:t>:</w:t>
            </w:r>
          </w:p>
        </w:tc>
      </w:tr>
      <w:tr w:rsidR="00BC2BD4" w:rsidRPr="007D4D59" w14:paraId="29D3FA9D"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02664E3C" w14:textId="77777777" w:rsidR="00BC2BD4" w:rsidRPr="007D4D59" w:rsidRDefault="00BC2BD4" w:rsidP="005D4BC3">
            <w:pPr>
              <w:tabs>
                <w:tab w:val="left" w:pos="3420"/>
              </w:tabs>
              <w:spacing w:line="360" w:lineRule="auto"/>
              <w:ind w:right="-720"/>
              <w:rPr>
                <w:rFonts w:cs="Arial"/>
                <w:sz w:val="18"/>
                <w:szCs w:val="18"/>
                <w:lang w:val="en-GB"/>
              </w:rPr>
            </w:pPr>
          </w:p>
        </w:tc>
      </w:tr>
      <w:tr w:rsidR="00BC2BD4" w:rsidRPr="007D4D59" w14:paraId="356B2051"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44420FF6" w14:textId="170FEA58" w:rsidR="00BC2BD4" w:rsidRPr="007D4D59" w:rsidRDefault="00AF6478" w:rsidP="005D4BC3">
            <w:pPr>
              <w:tabs>
                <w:tab w:val="left" w:pos="3420"/>
              </w:tabs>
              <w:spacing w:line="360" w:lineRule="auto"/>
              <w:ind w:right="-720"/>
              <w:rPr>
                <w:rFonts w:cs="Arial"/>
                <w:sz w:val="18"/>
                <w:szCs w:val="18"/>
                <w:lang w:val="en-GB"/>
              </w:rPr>
            </w:pPr>
            <w:r w:rsidRPr="007D4D59">
              <w:rPr>
                <w:rFonts w:cs="Arial"/>
                <w:sz w:val="18"/>
                <w:szCs w:val="18"/>
                <w:lang w:val="en-GB"/>
              </w:rPr>
              <w:t>SHARES</w:t>
            </w:r>
            <w:r w:rsidR="00BC2BD4" w:rsidRPr="007D4D59">
              <w:rPr>
                <w:rFonts w:cs="Arial"/>
                <w:sz w:val="18"/>
                <w:szCs w:val="18"/>
                <w:lang w:val="en-GB"/>
              </w:rPr>
              <w:t>:</w:t>
            </w:r>
          </w:p>
        </w:tc>
      </w:tr>
      <w:tr w:rsidR="00BC2BD4" w:rsidRPr="007D4D59" w14:paraId="0F5E37EC"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69C395FF" w14:textId="77777777" w:rsidR="00BC2BD4" w:rsidRPr="007D4D59" w:rsidRDefault="00BC2BD4" w:rsidP="005D4BC3">
            <w:pPr>
              <w:tabs>
                <w:tab w:val="left" w:pos="3420"/>
              </w:tabs>
              <w:spacing w:line="360" w:lineRule="auto"/>
              <w:ind w:right="-720"/>
              <w:rPr>
                <w:rFonts w:cs="Arial"/>
                <w:sz w:val="18"/>
                <w:szCs w:val="18"/>
                <w:lang w:val="en-GB"/>
              </w:rPr>
            </w:pPr>
          </w:p>
        </w:tc>
      </w:tr>
      <w:tr w:rsidR="00BC2BD4" w:rsidRPr="007D4D59" w14:paraId="48FE0A42" w14:textId="77777777" w:rsidTr="005D4B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c>
          <w:tcPr>
            <w:tcW w:w="9639" w:type="dxa"/>
            <w:gridSpan w:val="14"/>
            <w:tcBorders>
              <w:top w:val="single" w:sz="4" w:space="0" w:color="auto"/>
              <w:bottom w:val="single" w:sz="4" w:space="0" w:color="auto"/>
            </w:tcBorders>
          </w:tcPr>
          <w:p w14:paraId="2C941BDF" w14:textId="439077C4" w:rsidR="00BC2BD4" w:rsidRPr="007D4D59" w:rsidRDefault="00AF6478" w:rsidP="005D4BC3">
            <w:pPr>
              <w:tabs>
                <w:tab w:val="left" w:pos="3420"/>
              </w:tabs>
              <w:spacing w:line="360" w:lineRule="auto"/>
              <w:ind w:right="-720"/>
              <w:rPr>
                <w:rFonts w:cs="Arial"/>
                <w:sz w:val="18"/>
                <w:szCs w:val="18"/>
                <w:lang w:val="en-GB"/>
              </w:rPr>
            </w:pPr>
            <w:r w:rsidRPr="007D4D59">
              <w:rPr>
                <w:rFonts w:cs="Arial"/>
                <w:sz w:val="18"/>
                <w:szCs w:val="18"/>
                <w:lang w:val="en-GB"/>
              </w:rPr>
              <w:t>MARKET</w:t>
            </w:r>
            <w:r w:rsidR="00BC2BD4" w:rsidRPr="007D4D59">
              <w:rPr>
                <w:rFonts w:cs="Arial"/>
                <w:sz w:val="18"/>
                <w:szCs w:val="18"/>
                <w:lang w:val="en-GB"/>
              </w:rPr>
              <w:t>:</w:t>
            </w:r>
          </w:p>
        </w:tc>
      </w:tr>
    </w:tbl>
    <w:p w14:paraId="54DC746B" w14:textId="77777777" w:rsidR="00BC2BD4" w:rsidRPr="007D4D59" w:rsidRDefault="00BC2BD4" w:rsidP="00BC2BD4">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line="360" w:lineRule="auto"/>
        <w:rPr>
          <w:rFonts w:cs="Arial"/>
          <w:color w:val="000000"/>
          <w:sz w:val="18"/>
          <w:szCs w:val="18"/>
          <w:lang w:val="en-GB"/>
        </w:rPr>
      </w:pPr>
    </w:p>
    <w:p w14:paraId="7BD4179B" w14:textId="13A84274" w:rsidR="00B67E74" w:rsidRPr="007D4D59" w:rsidRDefault="00AF6478" w:rsidP="00B67E74">
      <w:pPr>
        <w:pStyle w:val="Tekstpodstawowy3"/>
        <w:tabs>
          <w:tab w:val="left" w:pos="3420"/>
        </w:tabs>
        <w:jc w:val="both"/>
        <w:rPr>
          <w:rFonts w:ascii="Calibri" w:hAnsi="Calibri" w:cs="Calibri"/>
          <w:b w:val="0"/>
          <w:sz w:val="18"/>
          <w:szCs w:val="18"/>
          <w:lang w:val="en-GB"/>
        </w:rPr>
      </w:pPr>
      <w:r w:rsidRPr="007D4D59">
        <w:rPr>
          <w:rFonts w:ascii="Calibri" w:hAnsi="Calibri" w:cs="Calibri"/>
          <w:b w:val="0"/>
          <w:sz w:val="18"/>
          <w:szCs w:val="18"/>
          <w:lang w:val="en-GB"/>
        </w:rPr>
        <w:t xml:space="preserve">I. </w:t>
      </w:r>
      <w:r w:rsidR="00B67E74" w:rsidRPr="007D4D59">
        <w:rPr>
          <w:rFonts w:ascii="Calibri" w:hAnsi="Calibri" w:cs="Calibri"/>
          <w:b w:val="0"/>
          <w:sz w:val="18"/>
          <w:szCs w:val="18"/>
          <w:lang w:val="en-GB"/>
        </w:rPr>
        <w:t>We represent that we have reviewed the legal, economic and financial situation of the Issuer and upon a due diligence review thereof, and following a review of the circumstances of the issue of the shares subject to the application, we have concluded that the following conditions are met with respect to the Issuer and the shares subject to the application:</w:t>
      </w:r>
    </w:p>
    <w:p w14:paraId="772FF5FA" w14:textId="4800B6A8" w:rsidR="00B67E74" w:rsidRPr="007D4D59" w:rsidRDefault="00B67E74" w:rsidP="00AF6478">
      <w:pPr>
        <w:pStyle w:val="Akapitzlist"/>
        <w:numPr>
          <w:ilvl w:val="2"/>
          <w:numId w:val="20"/>
        </w:numPr>
        <w:tabs>
          <w:tab w:val="left" w:pos="284"/>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ind w:left="284" w:hanging="284"/>
        <w:jc w:val="both"/>
        <w:rPr>
          <w:rFonts w:cs="Arial"/>
          <w:sz w:val="18"/>
          <w:szCs w:val="18"/>
          <w:lang w:val="en-GB"/>
        </w:rPr>
      </w:pPr>
      <w:r w:rsidRPr="007D4D59">
        <w:rPr>
          <w:rFonts w:cs="Arial"/>
          <w:sz w:val="18"/>
          <w:szCs w:val="18"/>
          <w:lang w:val="en-GB"/>
        </w:rPr>
        <w:t xml:space="preserve">§ 3 sub-paragraph 1, § 3 sub-paragraph 2 point (1), § 3 sub-paragraph 2 point (2) (a) and </w:t>
      </w:r>
      <w:r w:rsidR="00AF6478" w:rsidRPr="007D4D59">
        <w:rPr>
          <w:rFonts w:cs="Arial"/>
          <w:sz w:val="18"/>
          <w:szCs w:val="18"/>
          <w:lang w:val="en-GB"/>
        </w:rPr>
        <w:t>(</w:t>
      </w:r>
      <w:r w:rsidRPr="007D4D59">
        <w:rPr>
          <w:rFonts w:cs="Arial"/>
          <w:sz w:val="18"/>
          <w:szCs w:val="18"/>
          <w:lang w:val="en-GB"/>
        </w:rPr>
        <w:t>b), § 3 sub-paragraph 6 of the Exchange Rules;</w:t>
      </w:r>
    </w:p>
    <w:p w14:paraId="79938A71"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263"/>
        <w:rPr>
          <w:rFonts w:cs="Arial"/>
          <w:sz w:val="18"/>
          <w:szCs w:val="18"/>
          <w:lang w:val="en-GB"/>
        </w:rPr>
      </w:pPr>
    </w:p>
    <w:p w14:paraId="55670E71" w14:textId="77777777" w:rsidR="008062ED" w:rsidRPr="007D4D59" w:rsidRDefault="008062ED" w:rsidP="008062ED">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709"/>
        <w:jc w:val="both"/>
        <w:rPr>
          <w:i/>
          <w:iCs/>
          <w:sz w:val="18"/>
          <w:szCs w:val="18"/>
          <w:lang w:val="en-GB"/>
        </w:rPr>
      </w:pPr>
    </w:p>
    <w:p w14:paraId="07B3C855" w14:textId="59512138" w:rsidR="003C6A0A" w:rsidRPr="007D4D59" w:rsidRDefault="003C6A0A" w:rsidP="00AF6478">
      <w:pPr>
        <w:pStyle w:val="Akapitzlist"/>
        <w:tabs>
          <w:tab w:val="left" w:pos="0"/>
          <w:tab w:val="left" w:pos="2160"/>
          <w:tab w:val="left" w:pos="2880"/>
          <w:tab w:val="left" w:pos="3420"/>
          <w:tab w:val="left" w:pos="3600"/>
          <w:tab w:val="left" w:pos="4320"/>
          <w:tab w:val="left" w:pos="5040"/>
          <w:tab w:val="left" w:pos="5760"/>
          <w:tab w:val="left" w:pos="6480"/>
          <w:tab w:val="left" w:pos="7200"/>
          <w:tab w:val="left" w:pos="7920"/>
          <w:tab w:val="left" w:pos="8640"/>
        </w:tabs>
        <w:ind w:left="0"/>
        <w:jc w:val="both"/>
        <w:rPr>
          <w:i/>
          <w:iCs/>
          <w:sz w:val="18"/>
          <w:szCs w:val="18"/>
          <w:lang w:val="en-GB"/>
        </w:rPr>
      </w:pPr>
      <w:r w:rsidRPr="007D4D59">
        <w:rPr>
          <w:i/>
          <w:iCs/>
          <w:sz w:val="18"/>
          <w:szCs w:val="18"/>
          <w:lang w:val="en-GB"/>
        </w:rPr>
        <w:t>If the shares subject to the application do not meet the conditions under § 3 sub-paragraph 2 point (2) of the Exchange Rules and the Issuer is requesting the Exchange Management Board to disapply the requirements under § 3 sub-paragraph 2 point (2) of the Exchange Rules, please describe the factual circumstances which justify disapplication of such requirements while meeting the requirements under § 10 sub-paragraph 5 of the Exchange Rules:</w:t>
      </w:r>
    </w:p>
    <w:p w14:paraId="0E175DE0" w14:textId="77777777" w:rsidR="00BC2BD4" w:rsidRPr="007D4D59" w:rsidRDefault="00BC2BD4" w:rsidP="00BC2BD4">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709"/>
        <w:rPr>
          <w:sz w:val="18"/>
          <w:szCs w:val="18"/>
          <w:lang w:val="en-GB"/>
        </w:rPr>
      </w:pPr>
    </w:p>
    <w:tbl>
      <w:tblPr>
        <w:tblStyle w:val="Tabela-Siatka"/>
        <w:tblW w:w="0" w:type="auto"/>
        <w:tblInd w:w="-5" w:type="dxa"/>
        <w:tblLook w:val="04A0" w:firstRow="1" w:lastRow="0" w:firstColumn="1" w:lastColumn="0" w:noHBand="0" w:noVBand="1"/>
      </w:tblPr>
      <w:tblGrid>
        <w:gridCol w:w="8499"/>
      </w:tblGrid>
      <w:tr w:rsidR="00BC2BD4" w:rsidRPr="007D4D59" w14:paraId="0E87D9AD" w14:textId="77777777" w:rsidTr="008062ED">
        <w:trPr>
          <w:trHeight w:val="1985"/>
        </w:trPr>
        <w:tc>
          <w:tcPr>
            <w:tcW w:w="8499" w:type="dxa"/>
          </w:tcPr>
          <w:p w14:paraId="31791E30" w14:textId="77777777" w:rsidR="00BC2BD4" w:rsidRPr="007D4D59" w:rsidRDefault="00BC2BD4" w:rsidP="005D4BC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cs="Arial"/>
                <w:sz w:val="18"/>
                <w:szCs w:val="18"/>
                <w:lang w:val="en-GB"/>
              </w:rPr>
            </w:pPr>
          </w:p>
        </w:tc>
      </w:tr>
    </w:tbl>
    <w:p w14:paraId="40644DEA" w14:textId="1D24E3CF" w:rsidR="003C6A0A" w:rsidRPr="007D4D59" w:rsidRDefault="003C6A0A" w:rsidP="008062ED">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709" w:hanging="709"/>
        <w:rPr>
          <w:rFonts w:cs="Arial"/>
          <w:i/>
          <w:iCs/>
          <w:sz w:val="18"/>
          <w:szCs w:val="18"/>
          <w:lang w:val="en-GB"/>
        </w:rPr>
      </w:pPr>
      <w:r w:rsidRPr="007D4D59">
        <w:rPr>
          <w:rFonts w:cs="Arial"/>
          <w:i/>
          <w:iCs/>
          <w:sz w:val="18"/>
          <w:szCs w:val="18"/>
          <w:lang w:val="en-GB"/>
        </w:rPr>
        <w:t>Justification of disapplication of the requirements under § 3 sub-paragraph 2 point (2) of the Exchange Rules</w:t>
      </w:r>
    </w:p>
    <w:p w14:paraId="75F2BA1D" w14:textId="7CCCF737" w:rsidR="00BC2BD4" w:rsidRPr="007D4D59" w:rsidRDefault="00BC2BD4" w:rsidP="008062ED">
      <w:pPr>
        <w:pStyle w:val="Akapitzlist"/>
        <w:numPr>
          <w:ilvl w:val="2"/>
          <w:numId w:val="20"/>
        </w:numPr>
        <w:tabs>
          <w:tab w:val="clear" w:pos="1269"/>
          <w:tab w:val="left" w:pos="284"/>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ind w:left="709" w:hanging="709"/>
        <w:jc w:val="both"/>
        <w:rPr>
          <w:rFonts w:cs="Arial"/>
          <w:sz w:val="18"/>
          <w:szCs w:val="18"/>
          <w:lang w:val="en-GB"/>
        </w:rPr>
      </w:pPr>
      <w:r w:rsidRPr="007D4D59">
        <w:rPr>
          <w:sz w:val="18"/>
          <w:szCs w:val="18"/>
          <w:lang w:val="en-GB"/>
        </w:rPr>
        <w:t xml:space="preserve">§ 3a </w:t>
      </w:r>
      <w:r w:rsidR="003C6A0A" w:rsidRPr="007D4D59">
        <w:rPr>
          <w:sz w:val="18"/>
          <w:szCs w:val="18"/>
          <w:lang w:val="en-GB"/>
        </w:rPr>
        <w:t>of the Exchange Rules subject to the following:</w:t>
      </w:r>
    </w:p>
    <w:p w14:paraId="7BDAD96D"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709"/>
        <w:rPr>
          <w:rFonts w:cs="Arial"/>
          <w:sz w:val="18"/>
          <w:szCs w:val="18"/>
          <w:lang w:val="en-GB"/>
        </w:rPr>
      </w:pPr>
    </w:p>
    <w:p w14:paraId="15D42436" w14:textId="5E34FB47" w:rsidR="00BC2BD4" w:rsidRPr="007D4D59" w:rsidRDefault="003C6A0A" w:rsidP="008062ED">
      <w:pPr>
        <w:pStyle w:val="Akapitzlist"/>
        <w:numPr>
          <w:ilvl w:val="3"/>
          <w:numId w:val="20"/>
        </w:num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ind w:left="1134" w:hanging="850"/>
        <w:jc w:val="both"/>
        <w:rPr>
          <w:rFonts w:cs="Arial"/>
          <w:sz w:val="18"/>
          <w:szCs w:val="18"/>
          <w:lang w:val="en-GB"/>
        </w:rPr>
      </w:pPr>
      <w:r w:rsidRPr="007D4D59">
        <w:rPr>
          <w:sz w:val="18"/>
          <w:szCs w:val="18"/>
          <w:lang w:val="en-GB"/>
        </w:rPr>
        <w:t>considering the following circumstances</w:t>
      </w:r>
      <w:r w:rsidR="00BC2BD4" w:rsidRPr="007D4D59">
        <w:rPr>
          <w:sz w:val="18"/>
          <w:szCs w:val="18"/>
          <w:lang w:val="en-GB"/>
        </w:rPr>
        <w:t xml:space="preserve">: </w:t>
      </w:r>
    </w:p>
    <w:p w14:paraId="067DD79B"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rPr>
          <w:rFonts w:cs="Arial"/>
          <w:sz w:val="18"/>
          <w:szCs w:val="18"/>
          <w:lang w:val="en-GB"/>
        </w:rPr>
      </w:pPr>
    </w:p>
    <w:tbl>
      <w:tblPr>
        <w:tblStyle w:val="Tabela-Siatka"/>
        <w:tblW w:w="0" w:type="auto"/>
        <w:tblInd w:w="279" w:type="dxa"/>
        <w:tblLook w:val="04A0" w:firstRow="1" w:lastRow="0" w:firstColumn="1" w:lastColumn="0" w:noHBand="0" w:noVBand="1"/>
      </w:tblPr>
      <w:tblGrid>
        <w:gridCol w:w="8215"/>
      </w:tblGrid>
      <w:tr w:rsidR="00BC2BD4" w:rsidRPr="007D4D59" w14:paraId="33C411A7" w14:textId="77777777" w:rsidTr="008062ED">
        <w:trPr>
          <w:trHeight w:val="756"/>
        </w:trPr>
        <w:tc>
          <w:tcPr>
            <w:tcW w:w="8215" w:type="dxa"/>
          </w:tcPr>
          <w:p w14:paraId="24C4FA53" w14:textId="77777777" w:rsidR="00BC2BD4" w:rsidRPr="007D4D59" w:rsidRDefault="00BC2BD4" w:rsidP="005D4BC3">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cs="Arial"/>
                <w:sz w:val="18"/>
                <w:szCs w:val="18"/>
                <w:lang w:val="en-GB"/>
              </w:rPr>
            </w:pPr>
          </w:p>
        </w:tc>
      </w:tr>
    </w:tbl>
    <w:p w14:paraId="03E602CC"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263"/>
        <w:rPr>
          <w:rFonts w:cs="Arial"/>
          <w:sz w:val="18"/>
          <w:szCs w:val="18"/>
          <w:lang w:val="en-GB"/>
        </w:rPr>
      </w:pPr>
    </w:p>
    <w:p w14:paraId="2A05F865" w14:textId="30B296F7" w:rsidR="00BC2BD4" w:rsidRPr="007D4D59" w:rsidRDefault="002F1113" w:rsidP="008062ED">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hanging="850"/>
        <w:rPr>
          <w:rFonts w:cs="Arial"/>
          <w:sz w:val="18"/>
          <w:szCs w:val="18"/>
          <w:lang w:val="en-GB"/>
        </w:rPr>
      </w:pPr>
      <w:r w:rsidRPr="007D4D59">
        <w:rPr>
          <w:sz w:val="18"/>
          <w:szCs w:val="18"/>
          <w:lang w:val="en-GB"/>
        </w:rPr>
        <w:t>In our opinion, trading in the shares will be fair, adequate and efficient</w:t>
      </w:r>
      <w:r w:rsidR="00BC2BD4" w:rsidRPr="007D4D59">
        <w:rPr>
          <w:sz w:val="18"/>
          <w:szCs w:val="18"/>
          <w:lang w:val="en-GB"/>
        </w:rPr>
        <w:t>;</w:t>
      </w:r>
    </w:p>
    <w:p w14:paraId="4216FB94"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rPr>
          <w:rFonts w:cs="Arial"/>
          <w:sz w:val="18"/>
          <w:szCs w:val="18"/>
          <w:lang w:val="en-GB"/>
        </w:rPr>
      </w:pPr>
    </w:p>
    <w:p w14:paraId="6231BFA4" w14:textId="192DE803" w:rsidR="002F1113" w:rsidRPr="007D4D59" w:rsidRDefault="002F1113" w:rsidP="008062ED">
      <w:pPr>
        <w:pStyle w:val="Akapitzlist"/>
        <w:numPr>
          <w:ilvl w:val="3"/>
          <w:numId w:val="20"/>
        </w:num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ind w:left="709" w:hanging="425"/>
        <w:jc w:val="both"/>
        <w:rPr>
          <w:rFonts w:cs="Arial"/>
          <w:sz w:val="18"/>
          <w:szCs w:val="18"/>
          <w:lang w:val="en-GB"/>
        </w:rPr>
      </w:pPr>
      <w:r w:rsidRPr="007D4D59">
        <w:rPr>
          <w:rFonts w:cs="Arial"/>
          <w:sz w:val="18"/>
          <w:szCs w:val="18"/>
          <w:lang w:val="en-GB"/>
        </w:rPr>
        <w:t>in our opinion, the shares are freely negotiable within the meaning of Article 1 of Commission Delegated</w:t>
      </w:r>
      <w:r w:rsidRPr="007D4D59">
        <w:rPr>
          <w:lang w:val="en-GB"/>
        </w:rPr>
        <w:t xml:space="preserve"> </w:t>
      </w:r>
      <w:r w:rsidRPr="007D4D59">
        <w:rPr>
          <w:rFonts w:cs="Arial"/>
          <w:sz w:val="18"/>
          <w:szCs w:val="18"/>
          <w:lang w:val="en-GB"/>
        </w:rPr>
        <w:t>Regulation (EU) 2017/568, whereas:</w:t>
      </w:r>
    </w:p>
    <w:p w14:paraId="4BFC5610"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1134"/>
        <w:rPr>
          <w:rFonts w:cs="Arial"/>
          <w:sz w:val="18"/>
          <w:szCs w:val="18"/>
          <w:lang w:val="en-GB"/>
        </w:rPr>
      </w:pPr>
    </w:p>
    <w:p w14:paraId="2A7E8EBD" w14:textId="20322895" w:rsidR="00BC2BD4" w:rsidRPr="007D4D59" w:rsidRDefault="002F1113" w:rsidP="008062ED">
      <w:pPr>
        <w:pStyle w:val="Akapitzlist"/>
        <w:numPr>
          <w:ilvl w:val="0"/>
          <w:numId w:val="21"/>
        </w:numPr>
        <w:tabs>
          <w:tab w:val="left" w:pos="720"/>
          <w:tab w:val="left" w:pos="156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ind w:left="993" w:hanging="284"/>
        <w:jc w:val="both"/>
        <w:rPr>
          <w:rFonts w:cs="Arial"/>
          <w:sz w:val="18"/>
          <w:szCs w:val="18"/>
          <w:lang w:val="en-GB"/>
        </w:rPr>
      </w:pPr>
      <w:r w:rsidRPr="007D4D59">
        <w:rPr>
          <w:rFonts w:eastAsia="Verdana" w:cs="Verdana"/>
          <w:bCs/>
          <w:kern w:val="24"/>
          <w:sz w:val="18"/>
          <w:szCs w:val="18"/>
          <w:lang w:val="en-GB"/>
        </w:rPr>
        <w:t>the shares subject to the application are covered by no contractual restriction o</w:t>
      </w:r>
      <w:r w:rsidR="002E422F">
        <w:rPr>
          <w:rFonts w:eastAsia="Verdana" w:cs="Verdana"/>
          <w:bCs/>
          <w:kern w:val="24"/>
          <w:sz w:val="18"/>
          <w:szCs w:val="18"/>
          <w:lang w:val="en-GB"/>
        </w:rPr>
        <w:t>n</w:t>
      </w:r>
      <w:r w:rsidRPr="007D4D59">
        <w:rPr>
          <w:rFonts w:eastAsia="Verdana" w:cs="Verdana"/>
          <w:bCs/>
          <w:kern w:val="24"/>
          <w:sz w:val="18"/>
          <w:szCs w:val="18"/>
          <w:lang w:val="en-GB"/>
        </w:rPr>
        <w:t xml:space="preserve"> </w:t>
      </w:r>
      <w:r w:rsidR="00E46597" w:rsidRPr="007D4D59">
        <w:rPr>
          <w:rFonts w:eastAsia="Verdana" w:cs="Verdana"/>
          <w:bCs/>
          <w:kern w:val="24"/>
          <w:sz w:val="18"/>
          <w:szCs w:val="18"/>
          <w:lang w:val="en-GB"/>
        </w:rPr>
        <w:t>transfer</w:t>
      </w:r>
      <w:r w:rsidRPr="007D4D59">
        <w:rPr>
          <w:rFonts w:eastAsia="Verdana" w:cs="Verdana"/>
          <w:bCs/>
          <w:kern w:val="24"/>
          <w:sz w:val="18"/>
          <w:szCs w:val="18"/>
          <w:lang w:val="en-GB"/>
        </w:rPr>
        <w:t>;</w:t>
      </w:r>
    </w:p>
    <w:p w14:paraId="5436A3DA" w14:textId="77777777" w:rsidR="00BC2BD4" w:rsidRPr="007D4D59" w:rsidRDefault="00BC2BD4" w:rsidP="008062ED">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993" w:hanging="284"/>
        <w:rPr>
          <w:rFonts w:cs="Arial"/>
          <w:sz w:val="18"/>
          <w:szCs w:val="18"/>
          <w:lang w:val="en-GB"/>
        </w:rPr>
      </w:pPr>
    </w:p>
    <w:p w14:paraId="1D0D778A" w14:textId="571CD138" w:rsidR="002F1113" w:rsidRPr="007D4D59" w:rsidRDefault="002F1113" w:rsidP="00273B68">
      <w:pPr>
        <w:pStyle w:val="Akapitzlist"/>
        <w:numPr>
          <w:ilvl w:val="0"/>
          <w:numId w:val="21"/>
        </w:numPr>
        <w:tabs>
          <w:tab w:val="left" w:pos="1560"/>
        </w:tabs>
        <w:spacing w:after="0"/>
        <w:ind w:left="993" w:hanging="284"/>
        <w:jc w:val="both"/>
        <w:rPr>
          <w:sz w:val="18"/>
          <w:szCs w:val="18"/>
          <w:lang w:val="en-GB"/>
        </w:rPr>
      </w:pPr>
      <w:r w:rsidRPr="007D4D59">
        <w:rPr>
          <w:sz w:val="18"/>
          <w:szCs w:val="18"/>
          <w:lang w:val="en-GB"/>
        </w:rPr>
        <w:t>lock-up agreements covering the shares do not generate the risk that potential sale of such shares in</w:t>
      </w:r>
      <w:r w:rsidR="00273B68" w:rsidRPr="007D4D59">
        <w:rPr>
          <w:sz w:val="18"/>
          <w:szCs w:val="18"/>
          <w:lang w:val="en-GB"/>
        </w:rPr>
        <w:t xml:space="preserve"> </w:t>
      </w:r>
      <w:r w:rsidRPr="007D4D59">
        <w:rPr>
          <w:sz w:val="18"/>
          <w:szCs w:val="18"/>
          <w:lang w:val="en-GB"/>
        </w:rPr>
        <w:t>violation of a lock-up agreement would cause the purchase of such shares by a future buyer to have</w:t>
      </w:r>
      <w:r w:rsidR="00273B68" w:rsidRPr="007D4D59">
        <w:rPr>
          <w:sz w:val="18"/>
          <w:szCs w:val="18"/>
          <w:lang w:val="en-GB"/>
        </w:rPr>
        <w:t xml:space="preserve"> </w:t>
      </w:r>
      <w:r w:rsidRPr="007D4D59">
        <w:rPr>
          <w:sz w:val="18"/>
          <w:szCs w:val="18"/>
          <w:lang w:val="en-GB"/>
        </w:rPr>
        <w:t>no effect and, as such, it is not a restriction o</w:t>
      </w:r>
      <w:r w:rsidR="00B3328A">
        <w:rPr>
          <w:sz w:val="18"/>
          <w:szCs w:val="18"/>
          <w:lang w:val="en-GB"/>
        </w:rPr>
        <w:t>n</w:t>
      </w:r>
      <w:r w:rsidRPr="007D4D59">
        <w:rPr>
          <w:sz w:val="18"/>
          <w:szCs w:val="18"/>
          <w:lang w:val="en-GB"/>
        </w:rPr>
        <w:t xml:space="preserve"> their </w:t>
      </w:r>
      <w:r w:rsidR="00273B68" w:rsidRPr="007D4D59">
        <w:rPr>
          <w:sz w:val="18"/>
          <w:szCs w:val="18"/>
          <w:lang w:val="en-GB"/>
        </w:rPr>
        <w:t>transfer</w:t>
      </w:r>
      <w:r w:rsidRPr="007D4D59">
        <w:rPr>
          <w:sz w:val="18"/>
          <w:szCs w:val="18"/>
          <w:lang w:val="en-GB"/>
        </w:rPr>
        <w:t xml:space="preserve"> likely to disturb the market, which</w:t>
      </w:r>
      <w:r w:rsidR="00273B68" w:rsidRPr="007D4D59">
        <w:rPr>
          <w:sz w:val="18"/>
          <w:szCs w:val="18"/>
          <w:lang w:val="en-GB"/>
        </w:rPr>
        <w:t xml:space="preserve"> </w:t>
      </w:r>
      <w:r w:rsidRPr="007D4D59">
        <w:rPr>
          <w:sz w:val="18"/>
          <w:szCs w:val="18"/>
          <w:lang w:val="en-GB"/>
        </w:rPr>
        <w:t xml:space="preserve">means that the shares meet the criterion of </w:t>
      </w:r>
      <w:r w:rsidR="00DA0781" w:rsidRPr="007D4D59">
        <w:rPr>
          <w:sz w:val="18"/>
          <w:szCs w:val="18"/>
          <w:lang w:val="en-GB"/>
        </w:rPr>
        <w:t>being</w:t>
      </w:r>
      <w:r w:rsidR="00DA0781" w:rsidRPr="007D4D59">
        <w:rPr>
          <w:rFonts w:cs="Arial"/>
          <w:sz w:val="18"/>
          <w:szCs w:val="18"/>
          <w:lang w:val="en-GB"/>
        </w:rPr>
        <w:t xml:space="preserve"> freely negotiable</w:t>
      </w:r>
      <w:r w:rsidRPr="007D4D59">
        <w:rPr>
          <w:sz w:val="18"/>
          <w:szCs w:val="18"/>
          <w:lang w:val="en-GB"/>
        </w:rPr>
        <w:t xml:space="preserve"> under Article 1(1) of Commission</w:t>
      </w:r>
      <w:r w:rsidR="00273B68" w:rsidRPr="007D4D59">
        <w:rPr>
          <w:sz w:val="18"/>
          <w:szCs w:val="18"/>
          <w:lang w:val="en-GB"/>
        </w:rPr>
        <w:t xml:space="preserve"> </w:t>
      </w:r>
      <w:r w:rsidRPr="007D4D59">
        <w:rPr>
          <w:sz w:val="18"/>
          <w:szCs w:val="18"/>
          <w:lang w:val="en-GB"/>
        </w:rPr>
        <w:t>Delegated Regulation (EU) 2017/568;</w:t>
      </w:r>
    </w:p>
    <w:p w14:paraId="516C9618"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567"/>
        <w:rPr>
          <w:rFonts w:cs="Arial"/>
          <w:i/>
          <w:iCs/>
          <w:sz w:val="18"/>
          <w:szCs w:val="18"/>
          <w:lang w:val="en-GB"/>
        </w:rPr>
      </w:pPr>
    </w:p>
    <w:p w14:paraId="0A347EAC" w14:textId="79D3E4ED" w:rsidR="00EC13A8" w:rsidRPr="007D4D59" w:rsidRDefault="00EC13A8" w:rsidP="00DA0781">
      <w:pPr>
        <w:pStyle w:val="Akapitzlist"/>
        <w:numPr>
          <w:ilvl w:val="2"/>
          <w:numId w:val="20"/>
        </w:numPr>
        <w:tabs>
          <w:tab w:val="clear" w:pos="1269"/>
          <w:tab w:val="num" w:pos="284"/>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spacing w:after="120"/>
        <w:ind w:left="284" w:hanging="284"/>
        <w:jc w:val="both"/>
        <w:rPr>
          <w:sz w:val="18"/>
          <w:szCs w:val="18"/>
          <w:lang w:val="en-GB"/>
        </w:rPr>
      </w:pPr>
      <w:r w:rsidRPr="007D4D59">
        <w:rPr>
          <w:sz w:val="18"/>
          <w:szCs w:val="18"/>
          <w:lang w:val="en-GB"/>
        </w:rPr>
        <w:t>§ 1 and § 2 of the Regulation of the Minister of Finance of 25 April 2019 concerning specific conditions for an official listing market and issuers of securities admitted to trading on such market – when applying for admission of the shares to exchange trading on the main market (official listing market).</w:t>
      </w:r>
    </w:p>
    <w:p w14:paraId="62528347" w14:textId="77777777" w:rsidR="00BC2BD4" w:rsidRPr="007D4D59" w:rsidRDefault="00BC2BD4" w:rsidP="00BC2BD4">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567"/>
        <w:rPr>
          <w:sz w:val="18"/>
          <w:szCs w:val="18"/>
          <w:lang w:val="en-GB"/>
        </w:rPr>
      </w:pPr>
    </w:p>
    <w:p w14:paraId="478EF74D" w14:textId="77777777" w:rsidR="00EC13A8" w:rsidRPr="007D4D59" w:rsidRDefault="00EC13A8" w:rsidP="00EC13A8">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284"/>
        <w:jc w:val="both"/>
        <w:rPr>
          <w:i/>
          <w:iCs/>
          <w:sz w:val="18"/>
          <w:szCs w:val="18"/>
          <w:lang w:val="en-GB"/>
        </w:rPr>
      </w:pPr>
      <w:r w:rsidRPr="007D4D59">
        <w:rPr>
          <w:i/>
          <w:iCs/>
          <w:sz w:val="18"/>
          <w:szCs w:val="18"/>
          <w:lang w:val="en-GB"/>
        </w:rPr>
        <w:t>If the shares subject to the application do not meet the conditions under § 1(2) of the Regulation but the Issuer is</w:t>
      </w:r>
    </w:p>
    <w:p w14:paraId="52B227F4" w14:textId="77777777" w:rsidR="00EC13A8" w:rsidRPr="007D4D59" w:rsidRDefault="00EC13A8" w:rsidP="00EC13A8">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284"/>
        <w:jc w:val="both"/>
        <w:rPr>
          <w:i/>
          <w:iCs/>
          <w:sz w:val="18"/>
          <w:szCs w:val="18"/>
          <w:lang w:val="en-GB"/>
        </w:rPr>
      </w:pPr>
      <w:r w:rsidRPr="007D4D59">
        <w:rPr>
          <w:i/>
          <w:iCs/>
          <w:sz w:val="18"/>
          <w:szCs w:val="18"/>
          <w:lang w:val="en-GB"/>
        </w:rPr>
        <w:t>requesting the Exchange Management Board to admit the shares to exchange trading, please describe the</w:t>
      </w:r>
    </w:p>
    <w:p w14:paraId="61F9B408" w14:textId="17B39376" w:rsidR="00EC13A8" w:rsidRPr="007D4D59" w:rsidRDefault="00EC13A8" w:rsidP="00EC13A8">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284"/>
        <w:jc w:val="both"/>
        <w:rPr>
          <w:i/>
          <w:iCs/>
          <w:sz w:val="18"/>
          <w:szCs w:val="18"/>
          <w:lang w:val="en-GB"/>
        </w:rPr>
      </w:pPr>
      <w:r w:rsidRPr="007D4D59">
        <w:rPr>
          <w:i/>
          <w:iCs/>
          <w:sz w:val="18"/>
          <w:szCs w:val="18"/>
          <w:lang w:val="en-GB"/>
        </w:rPr>
        <w:t>circumstances justifying admission of the shares:</w:t>
      </w:r>
    </w:p>
    <w:p w14:paraId="4B8D0792" w14:textId="77777777" w:rsidR="00BC2BD4" w:rsidRPr="007D4D59" w:rsidRDefault="00BC2BD4" w:rsidP="008062ED">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284"/>
        <w:jc w:val="both"/>
        <w:rPr>
          <w:sz w:val="18"/>
          <w:szCs w:val="18"/>
          <w:lang w:val="en-GB"/>
        </w:rPr>
      </w:pPr>
    </w:p>
    <w:tbl>
      <w:tblPr>
        <w:tblStyle w:val="Tabela-Siatka"/>
        <w:tblW w:w="0" w:type="auto"/>
        <w:tblInd w:w="279" w:type="dxa"/>
        <w:tblLook w:val="04A0" w:firstRow="1" w:lastRow="0" w:firstColumn="1" w:lastColumn="0" w:noHBand="0" w:noVBand="1"/>
      </w:tblPr>
      <w:tblGrid>
        <w:gridCol w:w="8215"/>
      </w:tblGrid>
      <w:tr w:rsidR="00BC2BD4" w:rsidRPr="007D4D59" w14:paraId="4AABF39D" w14:textId="77777777" w:rsidTr="008062ED">
        <w:trPr>
          <w:trHeight w:val="1985"/>
        </w:trPr>
        <w:tc>
          <w:tcPr>
            <w:tcW w:w="8215" w:type="dxa"/>
          </w:tcPr>
          <w:p w14:paraId="7C685C5A" w14:textId="77777777" w:rsidR="00BC2BD4" w:rsidRPr="007D4D59" w:rsidRDefault="00BC2BD4" w:rsidP="005D4BC3">
            <w:pPr>
              <w:pStyle w:val="Akapitzlist"/>
              <w:tabs>
                <w:tab w:val="left" w:pos="709"/>
                <w:tab w:val="left" w:pos="2160"/>
                <w:tab w:val="left" w:pos="2880"/>
                <w:tab w:val="left" w:pos="3420"/>
                <w:tab w:val="left" w:pos="3600"/>
                <w:tab w:val="left" w:pos="4320"/>
                <w:tab w:val="left" w:pos="5040"/>
                <w:tab w:val="left" w:pos="5760"/>
                <w:tab w:val="left" w:pos="6480"/>
                <w:tab w:val="left" w:pos="7200"/>
                <w:tab w:val="left" w:pos="7920"/>
                <w:tab w:val="left" w:pos="8640"/>
              </w:tabs>
              <w:ind w:left="0"/>
              <w:rPr>
                <w:rFonts w:cs="Arial"/>
                <w:sz w:val="18"/>
                <w:szCs w:val="18"/>
                <w:lang w:val="en-GB"/>
              </w:rPr>
            </w:pPr>
          </w:p>
        </w:tc>
      </w:tr>
    </w:tbl>
    <w:p w14:paraId="41AD9EE2" w14:textId="77777777" w:rsidR="00BC2BD4" w:rsidRPr="007D4D59" w:rsidRDefault="00BC2BD4" w:rsidP="00BC2BD4">
      <w:pPr>
        <w:pStyle w:val="Akapitzlist"/>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ind w:left="567"/>
        <w:rPr>
          <w:rFonts w:cs="Arial"/>
          <w:i/>
          <w:iCs/>
          <w:sz w:val="18"/>
          <w:szCs w:val="18"/>
          <w:lang w:val="en-GB"/>
        </w:rPr>
      </w:pPr>
    </w:p>
    <w:p w14:paraId="17874D2A" w14:textId="4CBA21F6" w:rsidR="00EC13A8" w:rsidRPr="007D4D59" w:rsidRDefault="00EC13A8" w:rsidP="00EC13A8">
      <w:pPr>
        <w:pStyle w:val="Tekstpodstawowy3"/>
        <w:numPr>
          <w:ilvl w:val="5"/>
          <w:numId w:val="20"/>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0" w:firstLine="0"/>
        <w:jc w:val="both"/>
        <w:rPr>
          <w:rFonts w:asciiTheme="minorHAnsi" w:hAnsiTheme="minorHAnsi" w:cstheme="minorHAnsi"/>
          <w:b w:val="0"/>
          <w:bCs/>
          <w:sz w:val="18"/>
          <w:szCs w:val="18"/>
          <w:lang w:val="en-GB"/>
        </w:rPr>
      </w:pPr>
      <w:r w:rsidRPr="007D4D59">
        <w:rPr>
          <w:rFonts w:asciiTheme="minorHAnsi" w:hAnsiTheme="minorHAnsi" w:cstheme="minorHAnsi"/>
          <w:b w:val="0"/>
          <w:bCs/>
          <w:sz w:val="18"/>
          <w:szCs w:val="18"/>
          <w:lang w:val="en-GB"/>
        </w:rPr>
        <w:t>As a result of a review of additional circumstances referred to in § 10 of the Exchange Rules, we have identified no circumstances which would provide sufficient grounds for the Exchange Management Board to refuse the admission of the shares subject to the Issuer’s application to trading on the regulated market.</w:t>
      </w:r>
    </w:p>
    <w:p w14:paraId="11A349B6" w14:textId="0EF8E2FE" w:rsidR="00224750" w:rsidRPr="007D4D59" w:rsidRDefault="00224750" w:rsidP="00E322E1">
      <w:pPr>
        <w:pStyle w:val="Tekstpodstawowy3"/>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jc w:val="both"/>
        <w:rPr>
          <w:rFonts w:asciiTheme="minorHAnsi" w:hAnsiTheme="minorHAnsi" w:cstheme="minorHAnsi"/>
          <w:b w:val="0"/>
          <w:bCs/>
          <w:i/>
          <w:iCs/>
          <w:color w:val="000000"/>
          <w:sz w:val="18"/>
          <w:szCs w:val="18"/>
          <w:lang w:val="en-GB"/>
        </w:rPr>
      </w:pPr>
      <w:r w:rsidRPr="007D4D59">
        <w:rPr>
          <w:rFonts w:asciiTheme="minorHAnsi" w:hAnsiTheme="minorHAnsi" w:cstheme="minorHAnsi"/>
          <w:b w:val="0"/>
          <w:bCs/>
          <w:i/>
          <w:iCs/>
          <w:color w:val="000000"/>
          <w:sz w:val="18"/>
          <w:szCs w:val="18"/>
          <w:lang w:val="en-GB"/>
        </w:rPr>
        <w:lastRenderedPageBreak/>
        <w:t>Brief description of the situation and the position of the Investment Firm where there are any circumstances to be considered by the Exchange Management Board when deciding on the admission of the shares to exchange trading which could result in negative assessment of the matters referred to in § 10 of the Exchange Rules, and justification for admission of the shares in spite of such circumstances.</w:t>
      </w:r>
    </w:p>
    <w:p w14:paraId="1B92EAA5" w14:textId="77777777" w:rsidR="00BC2BD4" w:rsidRPr="007D4D59" w:rsidRDefault="00BC2BD4" w:rsidP="00BC2BD4">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426"/>
        <w:jc w:val="both"/>
        <w:rPr>
          <w:rFonts w:ascii="Verdana" w:hAnsi="Verdana" w:cs="Verdana"/>
          <w:b w:val="0"/>
          <w:bCs/>
          <w:color w:val="000000"/>
          <w:sz w:val="18"/>
          <w:szCs w:val="18"/>
          <w:lang w:val="en-GB"/>
        </w:rPr>
      </w:pPr>
    </w:p>
    <w:tbl>
      <w:tblPr>
        <w:tblStyle w:val="Tabela-Siatka"/>
        <w:tblW w:w="0" w:type="auto"/>
        <w:tblInd w:w="-5" w:type="dxa"/>
        <w:tblLook w:val="04A0" w:firstRow="1" w:lastRow="0" w:firstColumn="1" w:lastColumn="0" w:noHBand="0" w:noVBand="1"/>
      </w:tblPr>
      <w:tblGrid>
        <w:gridCol w:w="8499"/>
      </w:tblGrid>
      <w:tr w:rsidR="00BC2BD4" w:rsidRPr="007D4D59" w14:paraId="3CB9829B" w14:textId="77777777" w:rsidTr="008062ED">
        <w:trPr>
          <w:trHeight w:val="1866"/>
        </w:trPr>
        <w:tc>
          <w:tcPr>
            <w:tcW w:w="8499" w:type="dxa"/>
          </w:tcPr>
          <w:p w14:paraId="6E40884A" w14:textId="77777777" w:rsidR="00BC2BD4" w:rsidRPr="007D4D59" w:rsidRDefault="00BC2BD4" w:rsidP="005D4BC3">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jc w:val="both"/>
              <w:rPr>
                <w:rFonts w:ascii="Verdana" w:hAnsi="Verdana" w:cs="Verdana"/>
                <w:b w:val="0"/>
                <w:bCs/>
                <w:color w:val="000000"/>
                <w:sz w:val="18"/>
                <w:szCs w:val="18"/>
                <w:lang w:val="en-GB"/>
              </w:rPr>
            </w:pPr>
          </w:p>
        </w:tc>
      </w:tr>
    </w:tbl>
    <w:p w14:paraId="33D45ABD" w14:textId="77777777" w:rsidR="00BC2BD4" w:rsidRPr="007D4D59" w:rsidRDefault="00BC2BD4" w:rsidP="00BC2BD4">
      <w:pPr>
        <w:pStyle w:val="Tekstpodstawowy3"/>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line="276" w:lineRule="auto"/>
        <w:ind w:left="426"/>
        <w:jc w:val="both"/>
        <w:rPr>
          <w:rFonts w:ascii="Verdana" w:hAnsi="Verdana" w:cs="Verdana"/>
          <w:b w:val="0"/>
          <w:bCs/>
          <w:color w:val="000000"/>
          <w:sz w:val="18"/>
          <w:szCs w:val="18"/>
          <w:lang w:val="en-GB"/>
        </w:rPr>
      </w:pPr>
    </w:p>
    <w:p w14:paraId="235FC578" w14:textId="7DE7C8B8" w:rsidR="00224750" w:rsidRPr="007D4D59" w:rsidRDefault="00224750" w:rsidP="00224750">
      <w:pPr>
        <w:pStyle w:val="Akapitzlist"/>
        <w:numPr>
          <w:ilvl w:val="0"/>
          <w:numId w:val="22"/>
        </w:numPr>
        <w:tabs>
          <w:tab w:val="left" w:pos="0"/>
          <w:tab w:val="left" w:pos="284"/>
          <w:tab w:val="left" w:pos="1440"/>
          <w:tab w:val="left" w:pos="2160"/>
          <w:tab w:val="left" w:pos="2880"/>
          <w:tab w:val="left" w:pos="3420"/>
          <w:tab w:val="left" w:pos="4320"/>
          <w:tab w:val="left" w:pos="5040"/>
          <w:tab w:val="left" w:pos="5760"/>
          <w:tab w:val="left" w:pos="6480"/>
          <w:tab w:val="left" w:pos="7200"/>
          <w:tab w:val="left" w:pos="7920"/>
          <w:tab w:val="left" w:pos="8640"/>
        </w:tabs>
        <w:spacing w:after="120"/>
        <w:ind w:left="0" w:firstLine="0"/>
        <w:jc w:val="both"/>
        <w:rPr>
          <w:rFonts w:cs="Arial"/>
          <w:sz w:val="18"/>
          <w:szCs w:val="18"/>
          <w:lang w:val="en-GB"/>
        </w:rPr>
      </w:pPr>
      <w:r w:rsidRPr="007D4D59">
        <w:rPr>
          <w:rFonts w:cs="Arial"/>
          <w:sz w:val="18"/>
          <w:szCs w:val="18"/>
          <w:lang w:val="en-GB"/>
        </w:rPr>
        <w:t>We are not aware of any facts or circumstances which could, in our opinion, form obstacles for the admission of the shares to exchange trading.</w:t>
      </w:r>
    </w:p>
    <w:p w14:paraId="2FC77458" w14:textId="77777777" w:rsidR="00BC2BD4" w:rsidRPr="007D4D59" w:rsidRDefault="00BC2BD4" w:rsidP="00BC2BD4">
      <w:pPr>
        <w:pStyle w:val="Akapitzlist"/>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426"/>
        <w:rPr>
          <w:rFonts w:cs="Arial"/>
          <w:sz w:val="18"/>
          <w:szCs w:val="18"/>
          <w:lang w:val="en-GB"/>
        </w:rPr>
      </w:pPr>
    </w:p>
    <w:p w14:paraId="1695EFAA" w14:textId="678029CF" w:rsidR="00224750" w:rsidRPr="007D4D59" w:rsidRDefault="00224750" w:rsidP="00224750">
      <w:pPr>
        <w:pStyle w:val="Akapitzlist"/>
        <w:tabs>
          <w:tab w:val="left" w:pos="0"/>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0"/>
        <w:jc w:val="both"/>
        <w:rPr>
          <w:rFonts w:cs="Arial"/>
          <w:i/>
          <w:iCs/>
          <w:sz w:val="18"/>
          <w:szCs w:val="18"/>
          <w:lang w:val="en-GB"/>
        </w:rPr>
      </w:pPr>
      <w:r w:rsidRPr="007D4D59">
        <w:rPr>
          <w:rFonts w:cs="Arial"/>
          <w:i/>
          <w:iCs/>
          <w:sz w:val="18"/>
          <w:szCs w:val="18"/>
          <w:lang w:val="en-GB"/>
        </w:rPr>
        <w:t>Brief description of the situation and the position of the Investment Firm where there are any circumstances to be considered by the Exchange Management Board when deciding on the admission of the shares to exchange trading which could form obstacles for such decision.</w:t>
      </w:r>
    </w:p>
    <w:p w14:paraId="1D699B96" w14:textId="77777777" w:rsidR="00BC2BD4" w:rsidRPr="007D4D59" w:rsidRDefault="00BC2BD4" w:rsidP="00BC2BD4">
      <w:pPr>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rPr>
          <w:rFonts w:cs="Arial"/>
          <w:sz w:val="18"/>
          <w:szCs w:val="18"/>
          <w:lang w:val="en-GB"/>
        </w:rPr>
      </w:pPr>
      <w:r w:rsidRPr="007D4D59">
        <w:rPr>
          <w:rFonts w:cs="Arial"/>
          <w:sz w:val="18"/>
          <w:szCs w:val="18"/>
          <w:lang w:val="en-GB"/>
        </w:rPr>
        <w:tab/>
      </w:r>
    </w:p>
    <w:tbl>
      <w:tblPr>
        <w:tblStyle w:val="Tabela-Siatka"/>
        <w:tblW w:w="0" w:type="auto"/>
        <w:tblInd w:w="-5" w:type="dxa"/>
        <w:tblLook w:val="04A0" w:firstRow="1" w:lastRow="0" w:firstColumn="1" w:lastColumn="0" w:noHBand="0" w:noVBand="1"/>
      </w:tblPr>
      <w:tblGrid>
        <w:gridCol w:w="8499"/>
      </w:tblGrid>
      <w:tr w:rsidR="00BC2BD4" w:rsidRPr="007D4D59" w14:paraId="65B5F41B" w14:textId="77777777" w:rsidTr="00C101C6">
        <w:trPr>
          <w:trHeight w:val="1885"/>
        </w:trPr>
        <w:tc>
          <w:tcPr>
            <w:tcW w:w="8499" w:type="dxa"/>
          </w:tcPr>
          <w:p w14:paraId="7782885B" w14:textId="77777777" w:rsidR="00BC2BD4" w:rsidRPr="007D4D59" w:rsidRDefault="00BC2BD4" w:rsidP="005D4BC3">
            <w:pPr>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rPr>
                <w:rFonts w:cs="Arial"/>
                <w:sz w:val="18"/>
                <w:szCs w:val="18"/>
                <w:lang w:val="en-GB"/>
              </w:rPr>
            </w:pPr>
          </w:p>
        </w:tc>
      </w:tr>
    </w:tbl>
    <w:p w14:paraId="1062A320" w14:textId="77777777" w:rsidR="00BC2BD4" w:rsidRPr="007D4D59" w:rsidRDefault="00BC2BD4" w:rsidP="00BC2BD4">
      <w:pPr>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rPr>
          <w:rFonts w:cs="Arial"/>
          <w:sz w:val="18"/>
          <w:szCs w:val="18"/>
          <w:lang w:val="en-GB"/>
        </w:rPr>
      </w:pPr>
    </w:p>
    <w:p w14:paraId="3318CB02" w14:textId="77777777" w:rsidR="00BC2BD4" w:rsidRPr="007D4D59" w:rsidRDefault="00BC2BD4" w:rsidP="00BC2BD4">
      <w:pPr>
        <w:pStyle w:val="Akapitzlist"/>
        <w:tabs>
          <w:tab w:val="left" w:pos="426"/>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ind w:left="426"/>
        <w:rPr>
          <w:rFonts w:cs="Arial"/>
          <w:sz w:val="18"/>
          <w:szCs w:val="18"/>
          <w:lang w:val="en-GB"/>
        </w:rPr>
      </w:pPr>
    </w:p>
    <w:p w14:paraId="05E86E41" w14:textId="20075A77" w:rsidR="00F048BE" w:rsidRPr="007D4D59" w:rsidRDefault="00F048BE" w:rsidP="00F048BE">
      <w:pPr>
        <w:pStyle w:val="Akapitzlist"/>
        <w:numPr>
          <w:ilvl w:val="0"/>
          <w:numId w:val="22"/>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after="120"/>
        <w:ind w:left="0" w:firstLine="0"/>
        <w:jc w:val="both"/>
        <w:rPr>
          <w:rFonts w:cs="Arial"/>
          <w:sz w:val="18"/>
          <w:szCs w:val="18"/>
          <w:lang w:val="en-GB"/>
        </w:rPr>
      </w:pPr>
      <w:r w:rsidRPr="007D4D59">
        <w:rPr>
          <w:rFonts w:cs="Arial"/>
          <w:sz w:val="18"/>
          <w:szCs w:val="18"/>
          <w:lang w:val="en-GB"/>
        </w:rPr>
        <w:t>We are of the opinion that trading in the shares can reach a volume necessary to ensure adequate liquidity and correct execution of exchange transactions.</w:t>
      </w:r>
    </w:p>
    <w:p w14:paraId="40D020C8" w14:textId="77777777" w:rsidR="00BC2BD4" w:rsidRPr="007D4D59" w:rsidRDefault="00BC2BD4" w:rsidP="00BC2BD4">
      <w:pPr>
        <w:pStyle w:val="Akapitzlist"/>
        <w:ind w:hanging="426"/>
        <w:rPr>
          <w:rFonts w:cs="Arial"/>
          <w:sz w:val="18"/>
          <w:szCs w:val="18"/>
          <w:lang w:val="en-GB"/>
        </w:rPr>
      </w:pPr>
    </w:p>
    <w:p w14:paraId="511B1059" w14:textId="7214ADDA" w:rsidR="00F048BE" w:rsidRPr="007D4D59" w:rsidRDefault="00F048BE" w:rsidP="00F048BE">
      <w:pPr>
        <w:pStyle w:val="Akapitzlist"/>
        <w:numPr>
          <w:ilvl w:val="0"/>
          <w:numId w:val="22"/>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after="120"/>
        <w:ind w:left="0" w:firstLine="0"/>
        <w:jc w:val="both"/>
        <w:rPr>
          <w:rFonts w:cs="Arial"/>
          <w:sz w:val="18"/>
          <w:szCs w:val="18"/>
          <w:lang w:val="en-GB"/>
        </w:rPr>
      </w:pPr>
      <w:r w:rsidRPr="007D4D59">
        <w:rPr>
          <w:rFonts w:cs="Arial"/>
          <w:sz w:val="18"/>
          <w:szCs w:val="18"/>
          <w:lang w:val="en-GB"/>
        </w:rPr>
        <w:t>We have informed the Issuer’s supervisory and management bodies about obligations related to the Issuer’s activity on the regulated market, imposed on the Issuer by the Act on Public Offering and Union law, including the obligations under Regulation (EU) No 596/2014 of the European Parliament and of the Council.</w:t>
      </w:r>
    </w:p>
    <w:p w14:paraId="425027E0" w14:textId="77777777" w:rsidR="00BC2BD4" w:rsidRPr="007D4D59" w:rsidRDefault="00BC2BD4" w:rsidP="00BC2BD4">
      <w:pPr>
        <w:pStyle w:val="Akapitzlist"/>
        <w:ind w:hanging="426"/>
        <w:rPr>
          <w:rFonts w:cs="Arial"/>
          <w:sz w:val="18"/>
          <w:szCs w:val="18"/>
          <w:lang w:val="en-GB"/>
        </w:rPr>
      </w:pPr>
    </w:p>
    <w:p w14:paraId="652AC47A" w14:textId="7091C899" w:rsidR="00F048BE" w:rsidRPr="007D4D59" w:rsidRDefault="00F048BE" w:rsidP="00F048BE">
      <w:pPr>
        <w:pStyle w:val="Akapitzlist"/>
        <w:numPr>
          <w:ilvl w:val="0"/>
          <w:numId w:val="22"/>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after="120"/>
        <w:ind w:left="0" w:firstLine="0"/>
        <w:jc w:val="both"/>
        <w:rPr>
          <w:rFonts w:cs="Arial"/>
          <w:sz w:val="18"/>
          <w:szCs w:val="18"/>
          <w:lang w:val="en-GB"/>
        </w:rPr>
      </w:pPr>
      <w:r w:rsidRPr="007D4D59">
        <w:rPr>
          <w:rFonts w:cs="Arial"/>
          <w:sz w:val="18"/>
          <w:szCs w:val="18"/>
          <w:lang w:val="en-GB"/>
        </w:rPr>
        <w:t>On the basis of available information, we have concluded that the Issuer will duly meet the above obligations and ensure that its relationships with securities holders are in line with the nature of public trading.</w:t>
      </w:r>
    </w:p>
    <w:p w14:paraId="34515BE1" w14:textId="77777777" w:rsidR="00BC2BD4" w:rsidRPr="007D4D59" w:rsidRDefault="00BC2BD4" w:rsidP="00C101C6">
      <w:pPr>
        <w:pStyle w:val="Akapitzlist"/>
        <w:tabs>
          <w:tab w:val="left" w:pos="284"/>
        </w:tabs>
        <w:ind w:left="0"/>
        <w:rPr>
          <w:rFonts w:cs="Arial"/>
          <w:sz w:val="18"/>
          <w:szCs w:val="18"/>
          <w:lang w:val="en-GB"/>
        </w:rPr>
      </w:pPr>
    </w:p>
    <w:p w14:paraId="685AD5E9" w14:textId="2E501E39" w:rsidR="00AF6478" w:rsidRPr="007D4D59" w:rsidRDefault="00BB28E9" w:rsidP="00AF6478">
      <w:pPr>
        <w:pStyle w:val="Akapitzlist"/>
        <w:numPr>
          <w:ilvl w:val="0"/>
          <w:numId w:val="22"/>
        </w:numPr>
        <w:tabs>
          <w:tab w:val="left" w:pos="284"/>
          <w:tab w:val="left" w:pos="720"/>
          <w:tab w:val="left" w:pos="1440"/>
          <w:tab w:val="left" w:pos="2160"/>
          <w:tab w:val="left" w:pos="2880"/>
          <w:tab w:val="left" w:pos="3420"/>
          <w:tab w:val="left" w:pos="4320"/>
          <w:tab w:val="left" w:pos="5040"/>
          <w:tab w:val="left" w:pos="5760"/>
          <w:tab w:val="left" w:pos="6480"/>
          <w:tab w:val="left" w:pos="7200"/>
          <w:tab w:val="left" w:pos="7920"/>
          <w:tab w:val="left" w:pos="8640"/>
        </w:tabs>
        <w:spacing w:after="120"/>
        <w:ind w:left="0" w:firstLine="0"/>
        <w:jc w:val="both"/>
        <w:rPr>
          <w:rFonts w:cs="Arial"/>
          <w:sz w:val="18"/>
          <w:szCs w:val="18"/>
          <w:lang w:val="en-GB"/>
        </w:rPr>
      </w:pPr>
      <w:r w:rsidRPr="007D4D59">
        <w:rPr>
          <w:rFonts w:cs="Arial"/>
          <w:sz w:val="18"/>
          <w:szCs w:val="18"/>
          <w:lang w:val="en-GB"/>
        </w:rPr>
        <w:t xml:space="preserve"> </w:t>
      </w:r>
      <w:r w:rsidR="00AF6478" w:rsidRPr="007D4D59">
        <w:rPr>
          <w:rFonts w:cs="Arial"/>
          <w:sz w:val="18"/>
          <w:szCs w:val="18"/>
          <w:lang w:val="en-GB"/>
        </w:rPr>
        <w:t xml:space="preserve">This opinion </w:t>
      </w:r>
      <w:r w:rsidR="00BA64E4">
        <w:rPr>
          <w:rFonts w:cs="Arial"/>
          <w:sz w:val="18"/>
          <w:szCs w:val="18"/>
          <w:lang w:val="en-GB"/>
        </w:rPr>
        <w:t>has been</w:t>
      </w:r>
      <w:r w:rsidR="00AF6478" w:rsidRPr="007D4D59">
        <w:rPr>
          <w:rFonts w:cs="Arial"/>
          <w:sz w:val="18"/>
          <w:szCs w:val="18"/>
          <w:lang w:val="en-GB"/>
        </w:rPr>
        <w:t xml:space="preserve"> issued for the purposes of the Warsaw Stock Exchange only as part of the procedure of admitting securities to exchange trading. It is not a recommendation to purchase the Issuer’s securities.</w:t>
      </w:r>
    </w:p>
    <w:p w14:paraId="6C83AC5E" w14:textId="77777777" w:rsidR="00BC2BD4" w:rsidRPr="007D4D59" w:rsidRDefault="00BC2BD4" w:rsidP="00BC2BD4">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cs="Arial"/>
          <w:color w:val="000000"/>
          <w:sz w:val="18"/>
          <w:szCs w:val="18"/>
          <w:lang w:val="en-GB"/>
        </w:rPr>
      </w:pPr>
    </w:p>
    <w:p w14:paraId="12788804" w14:textId="77777777" w:rsidR="00BC2BD4" w:rsidRPr="007D4D59" w:rsidRDefault="00BC2BD4" w:rsidP="00BC2BD4">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s>
        <w:rPr>
          <w:rFonts w:cs="Arial"/>
          <w:sz w:val="18"/>
          <w:szCs w:val="18"/>
          <w:lang w:val="en-GB"/>
        </w:rPr>
      </w:pP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r>
      <w:r w:rsidRPr="007D4D59">
        <w:rPr>
          <w:rFonts w:cs="Arial"/>
          <w:color w:val="000000"/>
          <w:sz w:val="18"/>
          <w:szCs w:val="18"/>
          <w:lang w:val="en-GB"/>
        </w:rPr>
        <w:tab/>
        <w:t xml:space="preserve">                                  </w:t>
      </w:r>
    </w:p>
    <w:p w14:paraId="3506AA4A" w14:textId="7BF6148E" w:rsidR="00BC2BD4" w:rsidRPr="007D4D59" w:rsidRDefault="00BC2BD4" w:rsidP="00BC2BD4">
      <w:pPr>
        <w:pStyle w:val="wText"/>
        <w:rPr>
          <w:rFonts w:cstheme="minorHAnsi"/>
          <w:szCs w:val="20"/>
          <w:lang w:val="en-GB"/>
        </w:rPr>
      </w:pPr>
      <w:r w:rsidRPr="007D4D59">
        <w:rPr>
          <w:rFonts w:cstheme="minorHAnsi"/>
          <w:szCs w:val="20"/>
          <w:lang w:val="en-GB"/>
        </w:rPr>
        <w:t>……………………………………………………………………………………………………………………………………………………………………</w:t>
      </w:r>
    </w:p>
    <w:p w14:paraId="19300ED9" w14:textId="5FA8BC4D" w:rsidR="00CE6B77" w:rsidRPr="007D4D59" w:rsidRDefault="00CE6B77" w:rsidP="00CE6B77">
      <w:pPr>
        <w:spacing w:after="0" w:line="240" w:lineRule="auto"/>
        <w:jc w:val="both"/>
        <w:rPr>
          <w:rFonts w:asciiTheme="minorHAnsi" w:eastAsia="MS Mincho" w:hAnsiTheme="minorHAnsi" w:cstheme="minorHAnsi"/>
          <w:i/>
          <w:iCs/>
          <w:sz w:val="18"/>
          <w:szCs w:val="18"/>
          <w:lang w:val="en-GB"/>
        </w:rPr>
      </w:pPr>
      <w:r w:rsidRPr="007D4D59">
        <w:rPr>
          <w:rFonts w:asciiTheme="minorHAnsi" w:eastAsia="MS Mincho" w:hAnsiTheme="minorHAnsi" w:cstheme="minorHAnsi"/>
          <w:i/>
          <w:iCs/>
          <w:sz w:val="18"/>
          <w:szCs w:val="18"/>
          <w:lang w:val="en-GB"/>
        </w:rPr>
        <w:lastRenderedPageBreak/>
        <w:t xml:space="preserve">[date, first names and surnames or seals and signatures of persons authorised to </w:t>
      </w:r>
      <w:r w:rsidR="006F7BCC" w:rsidRPr="007D4D59">
        <w:rPr>
          <w:rFonts w:asciiTheme="minorHAnsi" w:eastAsia="MS Mincho" w:hAnsiTheme="minorHAnsi" w:cstheme="minorHAnsi"/>
          <w:i/>
          <w:iCs/>
          <w:sz w:val="18"/>
          <w:szCs w:val="18"/>
          <w:lang w:val="en-GB"/>
        </w:rPr>
        <w:t xml:space="preserve">submit </w:t>
      </w:r>
      <w:r w:rsidRPr="007D4D59">
        <w:rPr>
          <w:rFonts w:asciiTheme="minorHAnsi" w:eastAsia="MS Mincho" w:hAnsiTheme="minorHAnsi" w:cstheme="minorHAnsi"/>
          <w:i/>
          <w:iCs/>
          <w:sz w:val="18"/>
          <w:szCs w:val="18"/>
          <w:lang w:val="en-GB"/>
        </w:rPr>
        <w:t>declarations of intent on behalf of the investment firm – handwritten signatures (in the case of an opinion submitted on paper) or qualified electronic signatures or trusted signatures (in the case of an application submitted electronically in PDF format)]</w:t>
      </w:r>
    </w:p>
    <w:p w14:paraId="107E3775" w14:textId="77777777" w:rsidR="00BC2BD4" w:rsidRPr="007D4D59" w:rsidRDefault="00BC2BD4" w:rsidP="00BC2BD4">
      <w:pPr>
        <w:rPr>
          <w:rFonts w:cs="Arial"/>
          <w:sz w:val="18"/>
          <w:szCs w:val="18"/>
          <w:lang w:val="en-GB"/>
        </w:rPr>
      </w:pPr>
    </w:p>
    <w:sectPr w:rsidR="00BC2BD4" w:rsidRPr="007D4D59" w:rsidSect="003F1AA2">
      <w:footerReference w:type="default" r:id="rId8"/>
      <w:headerReference w:type="first" r:id="rId9"/>
      <w:footerReference w:type="first" r:id="rId10"/>
      <w:type w:val="continuous"/>
      <w:pgSz w:w="11906" w:h="16838" w:code="9"/>
      <w:pgMar w:top="1560"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E35CA" w14:textId="77777777" w:rsidR="00F56524" w:rsidRDefault="00F56524" w:rsidP="0086331F">
      <w:pPr>
        <w:spacing w:after="0" w:line="240" w:lineRule="auto"/>
      </w:pPr>
      <w:r>
        <w:separator/>
      </w:r>
    </w:p>
  </w:endnote>
  <w:endnote w:type="continuationSeparator" w:id="0">
    <w:p w14:paraId="34553D5C" w14:textId="77777777" w:rsidR="00F56524" w:rsidRDefault="00F56524" w:rsidP="0086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51EB" w14:textId="77777777" w:rsidR="00726330" w:rsidRDefault="00414720">
    <w:pPr>
      <w:pStyle w:val="Stopka"/>
    </w:pPr>
    <w:r>
      <w:rPr>
        <w:noProof/>
        <w:lang w:eastAsia="pl-PL"/>
      </w:rPr>
      <w:drawing>
        <wp:anchor distT="0" distB="0" distL="114300" distR="114300" simplePos="0" relativeHeight="251658752" behindDoc="1" locked="0" layoutInCell="1" allowOverlap="1" wp14:anchorId="35BD18EC" wp14:editId="3271E323">
          <wp:simplePos x="0" y="0"/>
          <wp:positionH relativeFrom="column">
            <wp:posOffset>-1372235</wp:posOffset>
          </wp:positionH>
          <wp:positionV relativeFrom="paragraph">
            <wp:posOffset>-465455</wp:posOffset>
          </wp:positionV>
          <wp:extent cx="7564755" cy="1068705"/>
          <wp:effectExtent l="0" t="0" r="0" b="0"/>
          <wp:wrapNone/>
          <wp:docPr id="1" name="Obraz 1" descr="papier firmowy nowe logo ogoln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apier firmowy nowe logo ogoln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B53D" w14:textId="77777777" w:rsidR="00726330" w:rsidRDefault="00414720">
    <w:pPr>
      <w:pStyle w:val="Stopka"/>
    </w:pPr>
    <w:r>
      <w:rPr>
        <w:noProof/>
        <w:lang w:eastAsia="pl-PL"/>
      </w:rPr>
      <w:drawing>
        <wp:anchor distT="0" distB="0" distL="114300" distR="114300" simplePos="0" relativeHeight="251657728" behindDoc="1" locked="0" layoutInCell="1" allowOverlap="1" wp14:anchorId="0C3EBFD1" wp14:editId="5E516374">
          <wp:simplePos x="0" y="0"/>
          <wp:positionH relativeFrom="column">
            <wp:posOffset>-826770</wp:posOffset>
          </wp:positionH>
          <wp:positionV relativeFrom="paragraph">
            <wp:posOffset>-459740</wp:posOffset>
          </wp:positionV>
          <wp:extent cx="7564755" cy="1068705"/>
          <wp:effectExtent l="0" t="0" r="0" b="0"/>
          <wp:wrapNone/>
          <wp:docPr id="3" name="Obraz 3" descr="papier firmowy nowe logo ogoln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pier firmowy nowe logo ogolny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0E4D" w14:textId="77777777" w:rsidR="00F56524" w:rsidRDefault="00F56524" w:rsidP="0086331F">
      <w:pPr>
        <w:spacing w:after="0" w:line="240" w:lineRule="auto"/>
      </w:pPr>
      <w:r>
        <w:separator/>
      </w:r>
    </w:p>
  </w:footnote>
  <w:footnote w:type="continuationSeparator" w:id="0">
    <w:p w14:paraId="22694C6B" w14:textId="77777777" w:rsidR="00F56524" w:rsidRDefault="00F56524" w:rsidP="0086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C42" w14:textId="77777777" w:rsidR="00726330" w:rsidRPr="00D070CB" w:rsidRDefault="00414720">
    <w:pPr>
      <w:pStyle w:val="Nagwek"/>
    </w:pPr>
    <w:r>
      <w:rPr>
        <w:noProof/>
        <w:lang w:eastAsia="pl-PL"/>
      </w:rPr>
      <w:drawing>
        <wp:anchor distT="0" distB="0" distL="114300" distR="114300" simplePos="0" relativeHeight="251656704" behindDoc="1" locked="0" layoutInCell="1" allowOverlap="1" wp14:anchorId="5623818B" wp14:editId="2B2D8471">
          <wp:simplePos x="0" y="0"/>
          <wp:positionH relativeFrom="column">
            <wp:posOffset>-835025</wp:posOffset>
          </wp:positionH>
          <wp:positionV relativeFrom="paragraph">
            <wp:posOffset>-447040</wp:posOffset>
          </wp:positionV>
          <wp:extent cx="7564755" cy="1068705"/>
          <wp:effectExtent l="0" t="0" r="0" b="0"/>
          <wp:wrapNone/>
          <wp:docPr id="2" name="Obraz 2" descr="papier firmowy nowe logo ogoln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ier firmowy nowe logo ogoln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8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21F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48D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F6E7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C8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149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3E64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1CE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F2FC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4FC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FC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F08AD"/>
    <w:multiLevelType w:val="hybridMultilevel"/>
    <w:tmpl w:val="B61CBF7E"/>
    <w:lvl w:ilvl="0" w:tplc="18A829B6">
      <w:start w:val="1"/>
      <w:numFmt w:val="lowerLetter"/>
      <w:lvlText w:val="%1)"/>
      <w:lvlJc w:val="left"/>
      <w:pPr>
        <w:tabs>
          <w:tab w:val="num" w:pos="397"/>
        </w:tabs>
        <w:ind w:left="397" w:hanging="397"/>
      </w:pPr>
      <w:rPr>
        <w:rFonts w:ascii="Verdana" w:eastAsia="Times New Roman" w:hAnsi="Verdana" w:cs="Arial" w:hint="default"/>
      </w:rPr>
    </w:lvl>
    <w:lvl w:ilvl="1" w:tplc="04150019">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1" w15:restartNumberingAfterBreak="0">
    <w:nsid w:val="098C0050"/>
    <w:multiLevelType w:val="hybridMultilevel"/>
    <w:tmpl w:val="5030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883FB2"/>
    <w:multiLevelType w:val="hybridMultilevel"/>
    <w:tmpl w:val="5D340C2E"/>
    <w:lvl w:ilvl="0" w:tplc="2C9486F2">
      <w:start w:val="1"/>
      <w:numFmt w:val="lowerLetter"/>
      <w:lvlText w:val="%1)"/>
      <w:lvlJc w:val="left"/>
      <w:pPr>
        <w:ind w:left="791"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6F7111"/>
    <w:multiLevelType w:val="hybridMultilevel"/>
    <w:tmpl w:val="A858D84C"/>
    <w:lvl w:ilvl="0" w:tplc="4ABEE708">
      <w:start w:val="1"/>
      <w:numFmt w:val="lowerLetter"/>
      <w:lvlText w:val="%1)"/>
      <w:lvlJc w:val="left"/>
      <w:pPr>
        <w:ind w:left="720" w:hanging="360"/>
      </w:pPr>
      <w:rPr>
        <w:rFonts w:ascii="Arial" w:eastAsia="Times New Roman" w:hAnsi="Arial" w:cs="Arial" w:hint="default"/>
      </w:rPr>
    </w:lvl>
    <w:lvl w:ilvl="1" w:tplc="50568CB0">
      <w:start w:val="1"/>
      <w:numFmt w:val="lowerLetter"/>
      <w:lvlText w:val="%2)"/>
      <w:lvlJc w:val="left"/>
      <w:pPr>
        <w:tabs>
          <w:tab w:val="num" w:pos="737"/>
        </w:tabs>
        <w:ind w:left="737" w:hanging="340"/>
      </w:pPr>
      <w:rPr>
        <w:rFonts w:ascii="Verdana" w:eastAsia="Times New Roman" w:hAnsi="Verdana"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854EBD"/>
    <w:multiLevelType w:val="hybridMultilevel"/>
    <w:tmpl w:val="705E4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352BCD"/>
    <w:multiLevelType w:val="hybridMultilevel"/>
    <w:tmpl w:val="3652765E"/>
    <w:lvl w:ilvl="0" w:tplc="7E32B85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8ED3E3F"/>
    <w:multiLevelType w:val="hybridMultilevel"/>
    <w:tmpl w:val="44F25E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F01FE5"/>
    <w:multiLevelType w:val="hybridMultilevel"/>
    <w:tmpl w:val="D3A01CB8"/>
    <w:lvl w:ilvl="0" w:tplc="C4E0626A">
      <w:start w:val="3"/>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9A6E03"/>
    <w:multiLevelType w:val="hybridMultilevel"/>
    <w:tmpl w:val="62327470"/>
    <w:lvl w:ilvl="0" w:tplc="04150017">
      <w:start w:val="1"/>
      <w:numFmt w:val="lowerLetter"/>
      <w:lvlText w:val="%1)"/>
      <w:lvlJc w:val="left"/>
      <w:pPr>
        <w:ind w:left="1004" w:hanging="360"/>
      </w:pPr>
    </w:lvl>
    <w:lvl w:ilvl="1" w:tplc="4AF025F4">
      <w:start w:val="1"/>
      <w:numFmt w:val="lowerLetter"/>
      <w:lvlText w:val="%2)"/>
      <w:lvlJc w:val="left"/>
      <w:pPr>
        <w:tabs>
          <w:tab w:val="num" w:pos="737"/>
        </w:tabs>
        <w:ind w:left="737" w:hanging="453"/>
      </w:pPr>
      <w:rPr>
        <w:rFonts w:hint="default"/>
      </w:rPr>
    </w:lvl>
    <w:lvl w:ilvl="2" w:tplc="74B6FAE0">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379A5C46"/>
    <w:multiLevelType w:val="hybridMultilevel"/>
    <w:tmpl w:val="F3FE08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E2F15"/>
    <w:multiLevelType w:val="hybridMultilevel"/>
    <w:tmpl w:val="5478E1BA"/>
    <w:lvl w:ilvl="0" w:tplc="55E23E34">
      <w:start w:val="1"/>
      <w:numFmt w:val="decimal"/>
      <w:lvlText w:val="%1."/>
      <w:lvlJc w:val="left"/>
      <w:pPr>
        <w:tabs>
          <w:tab w:val="num" w:pos="397"/>
        </w:tabs>
        <w:ind w:left="397" w:hanging="397"/>
      </w:pPr>
      <w:rPr>
        <w:rFonts w:ascii="Verdana" w:eastAsia="MS Mincho" w:hAnsi="Verdana" w:cs="Arial"/>
      </w:rPr>
    </w:lvl>
    <w:lvl w:ilvl="1" w:tplc="3EC6A9EA">
      <w:start w:val="1"/>
      <w:numFmt w:val="lowerLetter"/>
      <w:lvlText w:val="%2)"/>
      <w:lvlJc w:val="left"/>
      <w:pPr>
        <w:tabs>
          <w:tab w:val="num" w:pos="737"/>
        </w:tabs>
        <w:ind w:left="737"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4C1BE9"/>
    <w:multiLevelType w:val="hybridMultilevel"/>
    <w:tmpl w:val="26A60E58"/>
    <w:lvl w:ilvl="0" w:tplc="994800C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F6C40"/>
    <w:multiLevelType w:val="hybridMultilevel"/>
    <w:tmpl w:val="4CFCBF52"/>
    <w:lvl w:ilvl="0" w:tplc="36583FA4">
      <w:start w:val="1"/>
      <w:numFmt w:val="bullet"/>
      <w:lvlText w:val=""/>
      <w:lvlJc w:val="left"/>
      <w:pPr>
        <w:ind w:left="1637" w:hanging="360"/>
      </w:pPr>
      <w:rPr>
        <w:rFonts w:ascii="Symbol" w:hAnsi="Symbol" w:hint="default"/>
        <w:sz w:val="32"/>
        <w:szCs w:val="32"/>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23" w15:restartNumberingAfterBreak="0">
    <w:nsid w:val="536A5768"/>
    <w:multiLevelType w:val="hybridMultilevel"/>
    <w:tmpl w:val="E88AB3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4D3356"/>
    <w:multiLevelType w:val="hybridMultilevel"/>
    <w:tmpl w:val="501CC034"/>
    <w:lvl w:ilvl="0" w:tplc="079A0072">
      <w:start w:val="1"/>
      <w:numFmt w:val="decimal"/>
      <w:lvlText w:val="%1."/>
      <w:lvlJc w:val="left"/>
      <w:pPr>
        <w:tabs>
          <w:tab w:val="num" w:pos="360"/>
        </w:tabs>
        <w:ind w:left="360" w:hanging="360"/>
      </w:pPr>
      <w:rPr>
        <w:rFonts w:hint="default"/>
      </w:rPr>
    </w:lvl>
    <w:lvl w:ilvl="1" w:tplc="079A0072">
      <w:start w:val="1"/>
      <w:numFmt w:val="decimal"/>
      <w:lvlText w:val="%2."/>
      <w:lvlJc w:val="left"/>
      <w:pPr>
        <w:tabs>
          <w:tab w:val="num" w:pos="360"/>
        </w:tabs>
        <w:ind w:left="360" w:hanging="360"/>
      </w:pPr>
      <w:rPr>
        <w:rFonts w:hint="default"/>
      </w:rPr>
    </w:lvl>
    <w:lvl w:ilvl="2" w:tplc="D83C36A6">
      <w:start w:val="1"/>
      <w:numFmt w:val="decimal"/>
      <w:lvlText w:val="%3."/>
      <w:lvlJc w:val="left"/>
      <w:pPr>
        <w:tabs>
          <w:tab w:val="num" w:pos="1269"/>
        </w:tabs>
        <w:ind w:left="1263" w:hanging="363"/>
      </w:pPr>
      <w:rPr>
        <w:rFonts w:asciiTheme="minorHAnsi" w:eastAsia="Verdana" w:hAnsiTheme="minorHAnsi" w:cstheme="minorHAnsi" w:hint="default"/>
        <w:i w:val="0"/>
        <w:iCs w:val="0"/>
      </w:rPr>
    </w:lvl>
    <w:lvl w:ilvl="3" w:tplc="7EA28190">
      <w:start w:val="1"/>
      <w:numFmt w:val="lowerLetter"/>
      <w:lvlText w:val="%4)"/>
      <w:lvlJc w:val="left"/>
      <w:pPr>
        <w:ind w:left="1800" w:hanging="360"/>
      </w:pPr>
      <w:rPr>
        <w:rFonts w:cs="Times New Roman" w:hint="default"/>
      </w:rPr>
    </w:lvl>
    <w:lvl w:ilvl="4" w:tplc="04150019">
      <w:start w:val="1"/>
      <w:numFmt w:val="lowerLetter"/>
      <w:lvlText w:val="%5."/>
      <w:lvlJc w:val="left"/>
      <w:pPr>
        <w:tabs>
          <w:tab w:val="num" w:pos="2520"/>
        </w:tabs>
        <w:ind w:left="2520" w:hanging="360"/>
      </w:pPr>
    </w:lvl>
    <w:lvl w:ilvl="5" w:tplc="1592BF86">
      <w:start w:val="2"/>
      <w:numFmt w:val="upperRoman"/>
      <w:lvlText w:val="%6."/>
      <w:lvlJc w:val="left"/>
      <w:pPr>
        <w:ind w:left="3780" w:hanging="720"/>
      </w:pPr>
      <w:rPr>
        <w:rFonts w:asciiTheme="minorHAnsi" w:hAnsiTheme="minorHAnsi" w:cstheme="minorHAnsi" w:hint="default"/>
        <w:sz w:val="18"/>
        <w:szCs w:val="18"/>
      </w:r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5" w15:restartNumberingAfterBreak="0">
    <w:nsid w:val="646A7618"/>
    <w:multiLevelType w:val="hybridMultilevel"/>
    <w:tmpl w:val="C87EFE44"/>
    <w:lvl w:ilvl="0" w:tplc="A78ADA5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F846925"/>
    <w:multiLevelType w:val="hybridMultilevel"/>
    <w:tmpl w:val="8E225B60"/>
    <w:lvl w:ilvl="0" w:tplc="CDCE14D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00069C"/>
    <w:multiLevelType w:val="hybridMultilevel"/>
    <w:tmpl w:val="63BA3D4C"/>
    <w:lvl w:ilvl="0" w:tplc="D3E80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3673116">
    <w:abstractNumId w:val="8"/>
  </w:num>
  <w:num w:numId="2" w16cid:durableId="1680964698">
    <w:abstractNumId w:val="3"/>
  </w:num>
  <w:num w:numId="3" w16cid:durableId="1137799314">
    <w:abstractNumId w:val="2"/>
  </w:num>
  <w:num w:numId="4" w16cid:durableId="1257790960">
    <w:abstractNumId w:val="1"/>
  </w:num>
  <w:num w:numId="5" w16cid:durableId="577177907">
    <w:abstractNumId w:val="0"/>
  </w:num>
  <w:num w:numId="6" w16cid:durableId="167523095">
    <w:abstractNumId w:val="9"/>
  </w:num>
  <w:num w:numId="7" w16cid:durableId="594871780">
    <w:abstractNumId w:val="7"/>
  </w:num>
  <w:num w:numId="8" w16cid:durableId="1419210074">
    <w:abstractNumId w:val="6"/>
  </w:num>
  <w:num w:numId="9" w16cid:durableId="436684292">
    <w:abstractNumId w:val="5"/>
  </w:num>
  <w:num w:numId="10" w16cid:durableId="919756326">
    <w:abstractNumId w:val="4"/>
  </w:num>
  <w:num w:numId="11" w16cid:durableId="263148581">
    <w:abstractNumId w:val="12"/>
  </w:num>
  <w:num w:numId="12" w16cid:durableId="1188250044">
    <w:abstractNumId w:val="14"/>
  </w:num>
  <w:num w:numId="13" w16cid:durableId="1881433459">
    <w:abstractNumId w:val="19"/>
  </w:num>
  <w:num w:numId="14" w16cid:durableId="429785446">
    <w:abstractNumId w:val="26"/>
  </w:num>
  <w:num w:numId="15" w16cid:durableId="1013802009">
    <w:abstractNumId w:val="11"/>
  </w:num>
  <w:num w:numId="16" w16cid:durableId="919949531">
    <w:abstractNumId w:val="16"/>
  </w:num>
  <w:num w:numId="17" w16cid:durableId="110128444">
    <w:abstractNumId w:val="25"/>
  </w:num>
  <w:num w:numId="18" w16cid:durableId="1644849017">
    <w:abstractNumId w:val="21"/>
  </w:num>
  <w:num w:numId="19" w16cid:durableId="1421289216">
    <w:abstractNumId w:val="27"/>
  </w:num>
  <w:num w:numId="20" w16cid:durableId="1532303075">
    <w:abstractNumId w:val="24"/>
  </w:num>
  <w:num w:numId="21" w16cid:durableId="1242913818">
    <w:abstractNumId w:val="22"/>
  </w:num>
  <w:num w:numId="22" w16cid:durableId="1419985449">
    <w:abstractNumId w:val="17"/>
  </w:num>
  <w:num w:numId="23" w16cid:durableId="704403891">
    <w:abstractNumId w:val="23"/>
  </w:num>
  <w:num w:numId="24" w16cid:durableId="1133866487">
    <w:abstractNumId w:val="13"/>
  </w:num>
  <w:num w:numId="25" w16cid:durableId="355618993">
    <w:abstractNumId w:val="10"/>
  </w:num>
  <w:num w:numId="26" w16cid:durableId="631600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120023">
    <w:abstractNumId w:val="20"/>
  </w:num>
  <w:num w:numId="28" w16cid:durableId="2027250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E34"/>
    <w:rsid w:val="00030702"/>
    <w:rsid w:val="000327FB"/>
    <w:rsid w:val="00053CD6"/>
    <w:rsid w:val="000707E6"/>
    <w:rsid w:val="00085AE6"/>
    <w:rsid w:val="000927D6"/>
    <w:rsid w:val="000C423C"/>
    <w:rsid w:val="000D1033"/>
    <w:rsid w:val="000E5298"/>
    <w:rsid w:val="000E6EDA"/>
    <w:rsid w:val="0013142E"/>
    <w:rsid w:val="001377CA"/>
    <w:rsid w:val="00147200"/>
    <w:rsid w:val="0014763C"/>
    <w:rsid w:val="0017691B"/>
    <w:rsid w:val="001B03BD"/>
    <w:rsid w:val="001C6A53"/>
    <w:rsid w:val="001F5D07"/>
    <w:rsid w:val="00205E34"/>
    <w:rsid w:val="00224750"/>
    <w:rsid w:val="002547DE"/>
    <w:rsid w:val="00267453"/>
    <w:rsid w:val="00273B68"/>
    <w:rsid w:val="002809F6"/>
    <w:rsid w:val="00297051"/>
    <w:rsid w:val="002C095E"/>
    <w:rsid w:val="002C0CC3"/>
    <w:rsid w:val="002D236B"/>
    <w:rsid w:val="002D4AC8"/>
    <w:rsid w:val="002E422F"/>
    <w:rsid w:val="002E4242"/>
    <w:rsid w:val="002F1113"/>
    <w:rsid w:val="003014D9"/>
    <w:rsid w:val="0031133B"/>
    <w:rsid w:val="00323B5D"/>
    <w:rsid w:val="00324714"/>
    <w:rsid w:val="00362FBF"/>
    <w:rsid w:val="00366CAA"/>
    <w:rsid w:val="00377A0B"/>
    <w:rsid w:val="00377A1F"/>
    <w:rsid w:val="00391BFB"/>
    <w:rsid w:val="003B734B"/>
    <w:rsid w:val="003C10BA"/>
    <w:rsid w:val="003C6287"/>
    <w:rsid w:val="003C6A0A"/>
    <w:rsid w:val="003C7D30"/>
    <w:rsid w:val="003D1E12"/>
    <w:rsid w:val="003F1AA2"/>
    <w:rsid w:val="003F1C64"/>
    <w:rsid w:val="003F354F"/>
    <w:rsid w:val="00403403"/>
    <w:rsid w:val="00414720"/>
    <w:rsid w:val="00436B8E"/>
    <w:rsid w:val="0044110B"/>
    <w:rsid w:val="00441205"/>
    <w:rsid w:val="004460ED"/>
    <w:rsid w:val="00447F86"/>
    <w:rsid w:val="0045264B"/>
    <w:rsid w:val="00452830"/>
    <w:rsid w:val="004676CA"/>
    <w:rsid w:val="004944AF"/>
    <w:rsid w:val="004C5D2F"/>
    <w:rsid w:val="004C7334"/>
    <w:rsid w:val="004F29FB"/>
    <w:rsid w:val="005042F9"/>
    <w:rsid w:val="005108F5"/>
    <w:rsid w:val="0051255B"/>
    <w:rsid w:val="0052505E"/>
    <w:rsid w:val="00540B75"/>
    <w:rsid w:val="00545C72"/>
    <w:rsid w:val="005505A3"/>
    <w:rsid w:val="0055293F"/>
    <w:rsid w:val="005578BF"/>
    <w:rsid w:val="00595EF7"/>
    <w:rsid w:val="005A3AA3"/>
    <w:rsid w:val="005C4F8C"/>
    <w:rsid w:val="005F2BA5"/>
    <w:rsid w:val="00611B97"/>
    <w:rsid w:val="00611F46"/>
    <w:rsid w:val="00617733"/>
    <w:rsid w:val="00625FB7"/>
    <w:rsid w:val="00630206"/>
    <w:rsid w:val="00634EB0"/>
    <w:rsid w:val="00647AF3"/>
    <w:rsid w:val="00665A4E"/>
    <w:rsid w:val="00682ACC"/>
    <w:rsid w:val="00684FAF"/>
    <w:rsid w:val="0068700A"/>
    <w:rsid w:val="00691DD0"/>
    <w:rsid w:val="006A2C73"/>
    <w:rsid w:val="006B0749"/>
    <w:rsid w:val="006B3DEF"/>
    <w:rsid w:val="006C0089"/>
    <w:rsid w:val="006D3270"/>
    <w:rsid w:val="006E50BA"/>
    <w:rsid w:val="006F7BCC"/>
    <w:rsid w:val="007206BC"/>
    <w:rsid w:val="00726330"/>
    <w:rsid w:val="00747ED2"/>
    <w:rsid w:val="007837AB"/>
    <w:rsid w:val="00784A2C"/>
    <w:rsid w:val="007918E6"/>
    <w:rsid w:val="007A609C"/>
    <w:rsid w:val="007C4A4A"/>
    <w:rsid w:val="007C4D3F"/>
    <w:rsid w:val="007D4D59"/>
    <w:rsid w:val="007E051A"/>
    <w:rsid w:val="007E3292"/>
    <w:rsid w:val="007E7961"/>
    <w:rsid w:val="007F0DBB"/>
    <w:rsid w:val="008062ED"/>
    <w:rsid w:val="0080731C"/>
    <w:rsid w:val="0081548E"/>
    <w:rsid w:val="008460AD"/>
    <w:rsid w:val="0085070D"/>
    <w:rsid w:val="00862796"/>
    <w:rsid w:val="0086331F"/>
    <w:rsid w:val="0087525B"/>
    <w:rsid w:val="008974A6"/>
    <w:rsid w:val="008D4EC5"/>
    <w:rsid w:val="0090204A"/>
    <w:rsid w:val="00924449"/>
    <w:rsid w:val="009249AA"/>
    <w:rsid w:val="009257ED"/>
    <w:rsid w:val="009343C4"/>
    <w:rsid w:val="00936B75"/>
    <w:rsid w:val="00945E59"/>
    <w:rsid w:val="00967834"/>
    <w:rsid w:val="009857FA"/>
    <w:rsid w:val="0099378E"/>
    <w:rsid w:val="009956A2"/>
    <w:rsid w:val="009B202F"/>
    <w:rsid w:val="009C2B5C"/>
    <w:rsid w:val="009F59CA"/>
    <w:rsid w:val="00A04CFC"/>
    <w:rsid w:val="00A12B65"/>
    <w:rsid w:val="00A1474E"/>
    <w:rsid w:val="00A1570F"/>
    <w:rsid w:val="00A15736"/>
    <w:rsid w:val="00A24182"/>
    <w:rsid w:val="00A26766"/>
    <w:rsid w:val="00A332E8"/>
    <w:rsid w:val="00A52DEF"/>
    <w:rsid w:val="00A85B76"/>
    <w:rsid w:val="00AA087F"/>
    <w:rsid w:val="00AC4047"/>
    <w:rsid w:val="00AD5B60"/>
    <w:rsid w:val="00AF6478"/>
    <w:rsid w:val="00B0575C"/>
    <w:rsid w:val="00B25596"/>
    <w:rsid w:val="00B3328A"/>
    <w:rsid w:val="00B63465"/>
    <w:rsid w:val="00B66D25"/>
    <w:rsid w:val="00B67E74"/>
    <w:rsid w:val="00B72AB8"/>
    <w:rsid w:val="00B80E79"/>
    <w:rsid w:val="00BA64E4"/>
    <w:rsid w:val="00BB28E9"/>
    <w:rsid w:val="00BC2BD4"/>
    <w:rsid w:val="00BC59CE"/>
    <w:rsid w:val="00BD0E82"/>
    <w:rsid w:val="00BD7A85"/>
    <w:rsid w:val="00C101C6"/>
    <w:rsid w:val="00C32AB5"/>
    <w:rsid w:val="00C50DC1"/>
    <w:rsid w:val="00C572EB"/>
    <w:rsid w:val="00C60D5B"/>
    <w:rsid w:val="00C6319C"/>
    <w:rsid w:val="00C77C19"/>
    <w:rsid w:val="00CA5DF2"/>
    <w:rsid w:val="00CB511A"/>
    <w:rsid w:val="00CC2705"/>
    <w:rsid w:val="00CC54CE"/>
    <w:rsid w:val="00CC618C"/>
    <w:rsid w:val="00CE6B77"/>
    <w:rsid w:val="00CF1CDC"/>
    <w:rsid w:val="00CF75FF"/>
    <w:rsid w:val="00D070CB"/>
    <w:rsid w:val="00D2675B"/>
    <w:rsid w:val="00D369BD"/>
    <w:rsid w:val="00D60338"/>
    <w:rsid w:val="00D70618"/>
    <w:rsid w:val="00D82B1F"/>
    <w:rsid w:val="00DA0781"/>
    <w:rsid w:val="00DA49A2"/>
    <w:rsid w:val="00DB70B1"/>
    <w:rsid w:val="00DC24DF"/>
    <w:rsid w:val="00DD6E0A"/>
    <w:rsid w:val="00DE0ADA"/>
    <w:rsid w:val="00DF142E"/>
    <w:rsid w:val="00E01C46"/>
    <w:rsid w:val="00E07000"/>
    <w:rsid w:val="00E16F21"/>
    <w:rsid w:val="00E2063B"/>
    <w:rsid w:val="00E2193A"/>
    <w:rsid w:val="00E322E1"/>
    <w:rsid w:val="00E438A7"/>
    <w:rsid w:val="00E458E4"/>
    <w:rsid w:val="00E46597"/>
    <w:rsid w:val="00E5154F"/>
    <w:rsid w:val="00E570AD"/>
    <w:rsid w:val="00E81440"/>
    <w:rsid w:val="00EC13A8"/>
    <w:rsid w:val="00EF04CF"/>
    <w:rsid w:val="00EF4E65"/>
    <w:rsid w:val="00F048BE"/>
    <w:rsid w:val="00F12B86"/>
    <w:rsid w:val="00F2301B"/>
    <w:rsid w:val="00F4690E"/>
    <w:rsid w:val="00F56524"/>
    <w:rsid w:val="00FB4C88"/>
    <w:rsid w:val="00FB5A1A"/>
    <w:rsid w:val="00FD2A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543F5"/>
  <w15:chartTrackingRefBased/>
  <w15:docId w15:val="{71E96A12-FB53-4147-B320-BD9E9D1A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E65"/>
    <w:pPr>
      <w:spacing w:after="200" w:line="276" w:lineRule="auto"/>
    </w:pPr>
    <w:rPr>
      <w:sz w:val="22"/>
      <w:szCs w:val="22"/>
      <w:lang w:eastAsia="en-US"/>
    </w:rPr>
  </w:style>
  <w:style w:type="paragraph" w:styleId="Nagwek3">
    <w:name w:val="heading 3"/>
    <w:basedOn w:val="Normalny"/>
    <w:next w:val="Normalny"/>
    <w:link w:val="Nagwek3Znak"/>
    <w:autoRedefine/>
    <w:uiPriority w:val="9"/>
    <w:unhideWhenUsed/>
    <w:qFormat/>
    <w:rsid w:val="00BC2BD4"/>
    <w:pPr>
      <w:keepNext/>
      <w:spacing w:after="0" w:line="240" w:lineRule="auto"/>
      <w:outlineLvl w:val="2"/>
    </w:pPr>
    <w:rPr>
      <w:rFonts w:ascii="Verdana" w:eastAsia="Times New Roman" w:hAnsi="Verdana" w:cs="Arial"/>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05E34"/>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05E34"/>
    <w:rPr>
      <w:rFonts w:ascii="Tahoma" w:hAnsi="Tahoma" w:cs="Tahoma"/>
      <w:sz w:val="16"/>
      <w:szCs w:val="16"/>
    </w:rPr>
  </w:style>
  <w:style w:type="paragraph" w:styleId="Nagwek">
    <w:name w:val="header"/>
    <w:basedOn w:val="Normalny"/>
    <w:link w:val="NagwekZnak"/>
    <w:uiPriority w:val="99"/>
    <w:unhideWhenUsed/>
    <w:rsid w:val="008633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331F"/>
  </w:style>
  <w:style w:type="paragraph" w:styleId="Stopka">
    <w:name w:val="footer"/>
    <w:basedOn w:val="Normalny"/>
    <w:link w:val="StopkaZnak"/>
    <w:uiPriority w:val="99"/>
    <w:unhideWhenUsed/>
    <w:rsid w:val="008633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31F"/>
  </w:style>
  <w:style w:type="paragraph" w:styleId="Bezodstpw">
    <w:name w:val="No Spacing"/>
    <w:link w:val="BezodstpwZnak"/>
    <w:uiPriority w:val="1"/>
    <w:qFormat/>
    <w:rsid w:val="00C60D5B"/>
    <w:rPr>
      <w:rFonts w:eastAsia="Times New Roman"/>
      <w:sz w:val="22"/>
      <w:szCs w:val="22"/>
      <w:lang w:eastAsia="en-US"/>
    </w:rPr>
  </w:style>
  <w:style w:type="character" w:customStyle="1" w:styleId="BezodstpwZnak">
    <w:name w:val="Bez odstępów Znak"/>
    <w:link w:val="Bezodstpw"/>
    <w:uiPriority w:val="1"/>
    <w:rsid w:val="00C60D5B"/>
    <w:rPr>
      <w:rFonts w:eastAsia="Times New Roman"/>
      <w:sz w:val="22"/>
      <w:szCs w:val="22"/>
      <w:lang w:val="pl-PL" w:eastAsia="en-US" w:bidi="ar-SA"/>
    </w:rPr>
  </w:style>
  <w:style w:type="paragraph" w:styleId="Akapitzlist">
    <w:name w:val="List Paragraph"/>
    <w:basedOn w:val="Normalny"/>
    <w:uiPriority w:val="34"/>
    <w:qFormat/>
    <w:rsid w:val="00CB511A"/>
    <w:pPr>
      <w:ind w:left="720"/>
      <w:contextualSpacing/>
    </w:pPr>
  </w:style>
  <w:style w:type="character" w:styleId="Odwoaniedokomentarza">
    <w:name w:val="annotation reference"/>
    <w:basedOn w:val="Domylnaczcionkaakapitu"/>
    <w:uiPriority w:val="99"/>
    <w:unhideWhenUsed/>
    <w:rsid w:val="007E3292"/>
    <w:rPr>
      <w:sz w:val="16"/>
      <w:szCs w:val="16"/>
    </w:rPr>
  </w:style>
  <w:style w:type="paragraph" w:styleId="Tekstkomentarza">
    <w:name w:val="annotation text"/>
    <w:basedOn w:val="Normalny"/>
    <w:link w:val="TekstkomentarzaZnak"/>
    <w:uiPriority w:val="99"/>
    <w:unhideWhenUsed/>
    <w:rsid w:val="007E3292"/>
    <w:pPr>
      <w:spacing w:line="240" w:lineRule="auto"/>
    </w:pPr>
    <w:rPr>
      <w:sz w:val="20"/>
      <w:szCs w:val="20"/>
    </w:rPr>
  </w:style>
  <w:style w:type="character" w:customStyle="1" w:styleId="TekstkomentarzaZnak">
    <w:name w:val="Tekst komentarza Znak"/>
    <w:basedOn w:val="Domylnaczcionkaakapitu"/>
    <w:link w:val="Tekstkomentarza"/>
    <w:uiPriority w:val="99"/>
    <w:rsid w:val="007E3292"/>
    <w:rPr>
      <w:lang w:eastAsia="en-US"/>
    </w:rPr>
  </w:style>
  <w:style w:type="paragraph" w:customStyle="1" w:styleId="wText">
    <w:name w:val="wText"/>
    <w:basedOn w:val="Normalny"/>
    <w:uiPriority w:val="2"/>
    <w:qFormat/>
    <w:rsid w:val="007E3292"/>
    <w:pPr>
      <w:spacing w:after="180" w:line="240" w:lineRule="auto"/>
      <w:jc w:val="both"/>
    </w:pPr>
    <w:rPr>
      <w:rFonts w:asciiTheme="majorHAnsi" w:eastAsia="MS Mincho" w:hAnsiTheme="majorHAnsi" w:cstheme="majorHAnsi"/>
      <w:sz w:val="20"/>
    </w:rPr>
  </w:style>
  <w:style w:type="character" w:customStyle="1" w:styleId="Nagwek3Znak">
    <w:name w:val="Nagłówek 3 Znak"/>
    <w:basedOn w:val="Domylnaczcionkaakapitu"/>
    <w:link w:val="Nagwek3"/>
    <w:uiPriority w:val="9"/>
    <w:rsid w:val="00BC2BD4"/>
    <w:rPr>
      <w:rFonts w:ascii="Verdana" w:eastAsia="Times New Roman" w:hAnsi="Verdana" w:cs="Arial"/>
      <w:b/>
      <w:bCs/>
    </w:rPr>
  </w:style>
  <w:style w:type="table" w:styleId="Tabela-Siatka">
    <w:name w:val="Table Grid"/>
    <w:basedOn w:val="Standardowy"/>
    <w:uiPriority w:val="39"/>
    <w:rsid w:val="00BC2BD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rsid w:val="00BC2BD4"/>
    <w:pPr>
      <w:spacing w:after="120" w:line="240" w:lineRule="auto"/>
      <w:jc w:val="center"/>
    </w:pPr>
    <w:rPr>
      <w:rFonts w:ascii="Times New Roman" w:eastAsia="Times New Roman" w:hAnsi="Times New Roman"/>
      <w:b/>
      <w:sz w:val="28"/>
      <w:szCs w:val="20"/>
      <w:lang w:eastAsia="pl-PL"/>
    </w:rPr>
  </w:style>
  <w:style w:type="character" w:customStyle="1" w:styleId="Tekstpodstawowy3Znak">
    <w:name w:val="Tekst podstawowy 3 Znak"/>
    <w:basedOn w:val="Domylnaczcionkaakapitu"/>
    <w:link w:val="Tekstpodstawowy3"/>
    <w:rsid w:val="00BC2BD4"/>
    <w:rPr>
      <w:rFonts w:ascii="Times New Roman" w:eastAsia="Times New Roman" w:hAnsi="Times New Roman"/>
      <w:b/>
      <w:sz w:val="28"/>
    </w:rPr>
  </w:style>
  <w:style w:type="character" w:styleId="Hipercze">
    <w:name w:val="Hyperlink"/>
    <w:uiPriority w:val="99"/>
    <w:unhideWhenUsed/>
    <w:rsid w:val="00B05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Props1.xml><?xml version="1.0" encoding="utf-8"?>
<ds:datastoreItem xmlns:ds="http://schemas.openxmlformats.org/officeDocument/2006/customXml" ds:itemID="{BEAE15E0-3131-426B-9484-CD51933762E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4422</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#Kategoria: [Wewnętrzne/Nie zawiera danych osobowych]#</cp:keywords>
  <cp:lastModifiedBy>Konowrocka Marzena</cp:lastModifiedBy>
  <cp:revision>2</cp:revision>
  <cp:lastPrinted>2021-02-01T14:31:00Z</cp:lastPrinted>
  <dcterms:created xsi:type="dcterms:W3CDTF">2023-10-19T09:29:00Z</dcterms:created>
  <dcterms:modified xsi:type="dcterms:W3CDTF">2023-10-19T09:29:00Z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2de38855-84ad-4819-9806-a4cac43ac8e3</vt:lpwstr>
  </property>
  <property fmtid="{D5CDD505-2E9C-101B-9397-08002B2CF9AE}" pid="3" name="bjSaver">
    <vt:lpwstr>t0PFlb9CW86Ufg8kSl1ZTJSZJlnWJbVj</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