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FE88" w14:textId="77777777" w:rsidR="00F312F7" w:rsidRPr="00233631" w:rsidRDefault="00F312F7" w:rsidP="00F312F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GB" w:eastAsia="pl-PL"/>
        </w:rPr>
      </w:pPr>
    </w:p>
    <w:p w14:paraId="553C7BA0" w14:textId="77777777" w:rsidR="00F312F7" w:rsidRPr="00233631" w:rsidRDefault="00F312F7" w:rsidP="00F312F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n-GB" w:eastAsia="pl-PL"/>
        </w:rPr>
      </w:pPr>
    </w:p>
    <w:p w14:paraId="4821848A" w14:textId="44511D17" w:rsidR="00F312F7" w:rsidRPr="00233631" w:rsidRDefault="009D7043" w:rsidP="00F312F7">
      <w:pPr>
        <w:spacing w:after="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Resolution No.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</w:t>
      </w:r>
      <w:r w:rsidR="0044276C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691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/2021</w:t>
      </w:r>
    </w:p>
    <w:p w14:paraId="48E67A9F" w14:textId="0F67A2E3" w:rsidR="00F312F7" w:rsidRPr="00233631" w:rsidRDefault="009D7043" w:rsidP="00F312F7">
      <w:pPr>
        <w:spacing w:after="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of the Management Board of the Warsaw Stock Exchange</w:t>
      </w:r>
    </w:p>
    <w:p w14:paraId="4CFB1375" w14:textId="0AA64E03" w:rsidR="00F312F7" w:rsidRPr="00233631" w:rsidRDefault="009D7043" w:rsidP="00F312F7">
      <w:pPr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dated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</w:t>
      </w:r>
      <w:r w:rsidR="0044276C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1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</w:t>
      </w: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July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2021 </w:t>
      </w:r>
    </w:p>
    <w:p w14:paraId="57264658" w14:textId="7CA702C1" w:rsidR="00F312F7" w:rsidRPr="00233631" w:rsidRDefault="00454FDC" w:rsidP="00F312F7">
      <w:pPr>
        <w:spacing w:after="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concerning publication by listed companies</w:t>
      </w:r>
      <w:r w:rsidR="00F312F7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</w:t>
      </w:r>
    </w:p>
    <w:p w14:paraId="72658BD0" w14:textId="4419BBA9" w:rsidR="00F312F7" w:rsidRPr="00233631" w:rsidRDefault="00454FDC" w:rsidP="00F312F7">
      <w:pPr>
        <w:spacing w:after="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of information </w:t>
      </w:r>
      <w:r w:rsidR="003A0C84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on</w:t>
      </w:r>
      <w:bookmarkStart w:id="0" w:name="_GoBack"/>
      <w:bookmarkEnd w:id="0"/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compliance with the corporate governance principles</w:t>
      </w:r>
      <w:r w:rsidR="00942799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</w:t>
      </w:r>
    </w:p>
    <w:p w14:paraId="3CB18F57" w14:textId="77777777" w:rsidR="00F312F7" w:rsidRPr="00233631" w:rsidRDefault="00F312F7" w:rsidP="00F312F7">
      <w:pPr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</w:p>
    <w:p w14:paraId="36B12FA1" w14:textId="5820D50E" w:rsidR="009D7043" w:rsidRPr="00233631" w:rsidRDefault="009D7043" w:rsidP="00F312F7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Pursuant to § 20(5) of the Exchange Articles of Association and § 29(3b) of the Exchange Rules, the Exchange Management Board resolves as follows:</w:t>
      </w:r>
    </w:p>
    <w:p w14:paraId="3BF9D0A7" w14:textId="77777777" w:rsidR="00F312F7" w:rsidRPr="00233631" w:rsidRDefault="00F312F7" w:rsidP="00F312F7">
      <w:pPr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§ 1 </w:t>
      </w:r>
    </w:p>
    <w:p w14:paraId="02F6ECBD" w14:textId="2F9C4F33" w:rsidR="009D7043" w:rsidRPr="00233631" w:rsidRDefault="009D7043" w:rsidP="00F312F7">
      <w:pPr>
        <w:numPr>
          <w:ilvl w:val="0"/>
          <w:numId w:val="16"/>
        </w:numPr>
        <w:spacing w:after="12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Issuers </w:t>
      </w:r>
      <w:r w:rsidR="002C431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required to</w:t>
      </w: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publish information referred to in § 29(3) and (3a) of the Exchange Rules concerning comp</w:t>
      </w:r>
      <w:r w:rsidR="002C431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l</w:t>
      </w: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iance with the corporate governance principles </w:t>
      </w:r>
      <w:r w:rsidR="002C431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presented in the </w:t>
      </w:r>
      <w:r w:rsidR="001D272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“</w:t>
      </w:r>
      <w:r w:rsidR="002C431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Best Practice for GPW Listed Companies 2021</w:t>
      </w:r>
      <w:r w:rsidR="001D272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”</w:t>
      </w:r>
      <w:r w:rsidR="002C431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shall transmit such information to the Exchange via the Electronic Information Database (“EBI”) in accordance with Resolution No. 646/2011 of the Exchange Management Board dated 20 May 2011 (as amended) and publish it on their corporate websites immediately after such transmission.</w:t>
      </w:r>
    </w:p>
    <w:p w14:paraId="607762F8" w14:textId="0925B5BF" w:rsidR="002C4312" w:rsidRPr="00233631" w:rsidRDefault="002C4312" w:rsidP="00F312F7">
      <w:pPr>
        <w:numPr>
          <w:ilvl w:val="0"/>
          <w:numId w:val="16"/>
        </w:numPr>
        <w:spacing w:after="12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The obligation of publishing information concerning </w:t>
      </w:r>
      <w:r w:rsidR="00233631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the status of </w:t>
      </w: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compliance with the corporate governance principles referred to in § 29(3) of the Exchange Rules shall be performed using a dedicated form available in EBI which contains </w:t>
      </w:r>
      <w:r w:rsidR="00303E7F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items corresponding to the principles of the </w:t>
      </w:r>
      <w:r w:rsidR="003014C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“</w:t>
      </w:r>
      <w:r w:rsidR="00303E7F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Best Practice for GPW Listed Companies 2021</w:t>
      </w:r>
      <w:r w:rsidR="003014C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”</w:t>
      </w:r>
      <w:r w:rsidR="00303E7F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. When publishing information concerning compliance with the corporate governance principles, issuers shall at each time address all items contained in the form by checking </w:t>
      </w:r>
      <w:r w:rsidR="00525A5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the applicable </w:t>
      </w:r>
      <w:r w:rsidR="00F45CD9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one of the</w:t>
      </w:r>
      <w:r w:rsidR="00303E7F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available options: the principle is complied with/the principle is not complied with</w:t>
      </w:r>
      <w:r w:rsidR="00F45CD9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/not applicable</w:t>
      </w:r>
      <w:r w:rsidR="0021047C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(the latter is available only for selected principles)</w:t>
      </w:r>
      <w:r w:rsidR="00F45CD9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, </w:t>
      </w:r>
      <w:r w:rsidR="00525A52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and by adding mandatory explanations containing all information required under § 29(3) of the Exchange Rules. Additional optional comments entered by issuers in the dedicated sections of the form </w:t>
      </w:r>
      <w:r w:rsidR="00ED4E8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aim to improve the transparency of public information concerning the issuer’s </w:t>
      </w:r>
      <w:r w:rsidR="00233631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status of </w:t>
      </w:r>
      <w:r w:rsidR="00ED4E8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compliance</w:t>
      </w:r>
      <w:r w:rsidR="00EB6083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with the corporate governance principles</w:t>
      </w:r>
      <w:r w:rsidR="00ED4E8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.</w:t>
      </w:r>
    </w:p>
    <w:p w14:paraId="74DBC771" w14:textId="4C97006A" w:rsidR="00ED4E80" w:rsidRPr="00233631" w:rsidRDefault="00ED4E80" w:rsidP="00FD0EB9">
      <w:pPr>
        <w:numPr>
          <w:ilvl w:val="0"/>
          <w:numId w:val="16"/>
        </w:numPr>
        <w:spacing w:after="24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Any information concerning an incidental breach of a corporate governance principle referred to in § 29(3a) of the Exchange Rules shall include all information </w:t>
      </w: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lastRenderedPageBreak/>
        <w:t xml:space="preserve">and explanations required thereunder. </w:t>
      </w:r>
      <w:r w:rsidR="00E7404C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Such information shall be transmitted by issuers in a dedicated form available in EBI.</w:t>
      </w:r>
    </w:p>
    <w:p w14:paraId="4B576941" w14:textId="77777777" w:rsidR="00380182" w:rsidRPr="00233631" w:rsidRDefault="00380182" w:rsidP="00380182">
      <w:pPr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§ 2</w:t>
      </w:r>
    </w:p>
    <w:p w14:paraId="547D6576" w14:textId="05964BA3" w:rsidR="00E7404C" w:rsidRPr="00233631" w:rsidRDefault="00E7404C" w:rsidP="00FD0EB9">
      <w:pPr>
        <w:autoSpaceDE w:val="0"/>
        <w:autoSpaceDN w:val="0"/>
        <w:adjustRightInd w:val="0"/>
        <w:spacing w:after="24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The </w:t>
      </w:r>
      <w:r w:rsidR="00B3486E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Exchange may use information transmitted by issuers under § 29(3) and (3a) of the Exchange Rules, process</w:t>
      </w:r>
      <w:r w:rsidR="00233631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it,</w:t>
      </w:r>
      <w:r w:rsidR="00B3486E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and make it available, in particular for the purposes of </w:t>
      </w:r>
      <w:r w:rsidR="00F75ED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developing visualisation tools on the Exchange’s website which facilitate public access to information concerning</w:t>
      </w:r>
      <w:r w:rsidR="00233631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 public companies’ status of </w:t>
      </w:r>
      <w:r w:rsidR="00F75ED0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compliance </w:t>
      </w:r>
      <w:r w:rsidR="00C824C8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with </w:t>
      </w:r>
      <w:r w:rsidR="00233631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 xml:space="preserve">the </w:t>
      </w:r>
      <w:r w:rsidR="00C824C8"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corporate governance principles.</w:t>
      </w:r>
    </w:p>
    <w:p w14:paraId="086E432C" w14:textId="77777777" w:rsidR="00F312F7" w:rsidRPr="00233631" w:rsidRDefault="00F312F7" w:rsidP="00F312F7">
      <w:pPr>
        <w:autoSpaceDE w:val="0"/>
        <w:autoSpaceDN w:val="0"/>
        <w:adjustRightInd w:val="0"/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§ 3</w:t>
      </w:r>
    </w:p>
    <w:p w14:paraId="089F80D9" w14:textId="6263CE9D" w:rsidR="00C824C8" w:rsidRPr="00233631" w:rsidRDefault="00C824C8" w:rsidP="00233631">
      <w:pPr>
        <w:autoSpaceDE w:val="0"/>
        <w:autoSpaceDN w:val="0"/>
        <w:adjustRightInd w:val="0"/>
        <w:spacing w:after="24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Resolution No. 718/2009 of the Exchange Management Board dated 16 December 2009 (as amended) shall become null and void.</w:t>
      </w:r>
    </w:p>
    <w:p w14:paraId="01523E36" w14:textId="77777777" w:rsidR="00F312F7" w:rsidRPr="00233631" w:rsidRDefault="00F312F7" w:rsidP="00F312F7">
      <w:pPr>
        <w:autoSpaceDE w:val="0"/>
        <w:autoSpaceDN w:val="0"/>
        <w:adjustRightInd w:val="0"/>
        <w:spacing w:after="120" w:line="360" w:lineRule="auto"/>
        <w:jc w:val="center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§ 4</w:t>
      </w:r>
    </w:p>
    <w:p w14:paraId="023CDCD7" w14:textId="7E884626" w:rsidR="00C824C8" w:rsidRPr="00233631" w:rsidRDefault="00C824C8" w:rsidP="00F312F7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</w:pPr>
      <w:r w:rsidRPr="00233631">
        <w:rPr>
          <w:rFonts w:ascii="Verdana" w:eastAsia="Times New Roman" w:hAnsi="Verdana" w:cs="Arial"/>
          <w:snapToGrid w:val="0"/>
          <w:sz w:val="20"/>
          <w:szCs w:val="20"/>
          <w:lang w:val="en-GB" w:eastAsia="pl-PL"/>
        </w:rPr>
        <w:t>This Resolution shall come into force on the day of its adoption.</w:t>
      </w:r>
    </w:p>
    <w:p w14:paraId="1388105B" w14:textId="77777777" w:rsidR="00053CD6" w:rsidRPr="00233631" w:rsidRDefault="00053CD6" w:rsidP="00F312F7">
      <w:pPr>
        <w:rPr>
          <w:rFonts w:ascii="Verdana" w:hAnsi="Verdana"/>
          <w:lang w:val="en-GB"/>
        </w:rPr>
      </w:pPr>
    </w:p>
    <w:sectPr w:rsidR="00053CD6" w:rsidRPr="00233631" w:rsidSect="005D2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EB4F" w14:textId="77777777" w:rsidR="005F0BF7" w:rsidRDefault="005F0BF7" w:rsidP="0086331F">
      <w:pPr>
        <w:spacing w:after="0" w:line="240" w:lineRule="auto"/>
      </w:pPr>
      <w:r>
        <w:separator/>
      </w:r>
    </w:p>
  </w:endnote>
  <w:endnote w:type="continuationSeparator" w:id="0">
    <w:p w14:paraId="560C83E0" w14:textId="77777777" w:rsidR="005F0BF7" w:rsidRDefault="005F0BF7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F04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A36FE7F" wp14:editId="1ACE0B81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6" name="Obraz 16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BB95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1364682" wp14:editId="0A3BB775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8" name="Obraz 18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52DC3" w14:textId="77777777" w:rsidR="005F0BF7" w:rsidRDefault="005F0BF7" w:rsidP="0086331F">
      <w:pPr>
        <w:spacing w:after="0" w:line="240" w:lineRule="auto"/>
      </w:pPr>
      <w:r>
        <w:separator/>
      </w:r>
    </w:p>
  </w:footnote>
  <w:footnote w:type="continuationSeparator" w:id="0">
    <w:p w14:paraId="39A5AC16" w14:textId="77777777" w:rsidR="005F0BF7" w:rsidRDefault="005F0BF7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2CBE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D9C24A2" wp14:editId="1A3653B7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7" name="Obraz 17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461A1"/>
    <w:multiLevelType w:val="hybridMultilevel"/>
    <w:tmpl w:val="1FF697D8"/>
    <w:lvl w:ilvl="0" w:tplc="9B5817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36B84"/>
    <w:rsid w:val="00053CD6"/>
    <w:rsid w:val="00085AE6"/>
    <w:rsid w:val="00090384"/>
    <w:rsid w:val="00091DB2"/>
    <w:rsid w:val="000A625E"/>
    <w:rsid w:val="000C287F"/>
    <w:rsid w:val="000C596C"/>
    <w:rsid w:val="000D08EA"/>
    <w:rsid w:val="000D1033"/>
    <w:rsid w:val="000E6EDA"/>
    <w:rsid w:val="000F7683"/>
    <w:rsid w:val="001121CE"/>
    <w:rsid w:val="00120D6A"/>
    <w:rsid w:val="001313FB"/>
    <w:rsid w:val="00147200"/>
    <w:rsid w:val="00160243"/>
    <w:rsid w:val="001749D7"/>
    <w:rsid w:val="0019596E"/>
    <w:rsid w:val="001A316F"/>
    <w:rsid w:val="001C106A"/>
    <w:rsid w:val="001C6A53"/>
    <w:rsid w:val="001D2722"/>
    <w:rsid w:val="00205E34"/>
    <w:rsid w:val="0021047C"/>
    <w:rsid w:val="00212E18"/>
    <w:rsid w:val="00233631"/>
    <w:rsid w:val="002515D9"/>
    <w:rsid w:val="002547DE"/>
    <w:rsid w:val="0026360D"/>
    <w:rsid w:val="00267453"/>
    <w:rsid w:val="00273BE2"/>
    <w:rsid w:val="00296868"/>
    <w:rsid w:val="00297051"/>
    <w:rsid w:val="002A3717"/>
    <w:rsid w:val="002A4305"/>
    <w:rsid w:val="002B1193"/>
    <w:rsid w:val="002C4312"/>
    <w:rsid w:val="002D1F46"/>
    <w:rsid w:val="002D4AC8"/>
    <w:rsid w:val="002E4242"/>
    <w:rsid w:val="003014C0"/>
    <w:rsid w:val="003014D9"/>
    <w:rsid w:val="00303E7F"/>
    <w:rsid w:val="00377A1F"/>
    <w:rsid w:val="00380182"/>
    <w:rsid w:val="003A0C84"/>
    <w:rsid w:val="003C10BA"/>
    <w:rsid w:val="003C7D30"/>
    <w:rsid w:val="003E5641"/>
    <w:rsid w:val="003F1C64"/>
    <w:rsid w:val="004125A7"/>
    <w:rsid w:val="00413C74"/>
    <w:rsid w:val="00414720"/>
    <w:rsid w:val="00436B8E"/>
    <w:rsid w:val="0044276C"/>
    <w:rsid w:val="00454FDC"/>
    <w:rsid w:val="00481C53"/>
    <w:rsid w:val="004944AF"/>
    <w:rsid w:val="004F6641"/>
    <w:rsid w:val="00501931"/>
    <w:rsid w:val="005052D6"/>
    <w:rsid w:val="00525A52"/>
    <w:rsid w:val="00544E5B"/>
    <w:rsid w:val="00545672"/>
    <w:rsid w:val="0055293F"/>
    <w:rsid w:val="005578BF"/>
    <w:rsid w:val="00574C95"/>
    <w:rsid w:val="005C4528"/>
    <w:rsid w:val="005D2D2E"/>
    <w:rsid w:val="005F0BF7"/>
    <w:rsid w:val="00615EEA"/>
    <w:rsid w:val="00625FB7"/>
    <w:rsid w:val="00630206"/>
    <w:rsid w:val="00634EB0"/>
    <w:rsid w:val="00643E3C"/>
    <w:rsid w:val="00682268"/>
    <w:rsid w:val="00682ACC"/>
    <w:rsid w:val="006E7598"/>
    <w:rsid w:val="00723C13"/>
    <w:rsid w:val="00726330"/>
    <w:rsid w:val="00736A4B"/>
    <w:rsid w:val="00747ED2"/>
    <w:rsid w:val="007A609C"/>
    <w:rsid w:val="007C4D3F"/>
    <w:rsid w:val="007E7961"/>
    <w:rsid w:val="00804897"/>
    <w:rsid w:val="0080731C"/>
    <w:rsid w:val="00815016"/>
    <w:rsid w:val="0081548E"/>
    <w:rsid w:val="0084632A"/>
    <w:rsid w:val="0086331F"/>
    <w:rsid w:val="008825CD"/>
    <w:rsid w:val="008974A6"/>
    <w:rsid w:val="008D4EC5"/>
    <w:rsid w:val="008F4276"/>
    <w:rsid w:val="009249AA"/>
    <w:rsid w:val="009343C4"/>
    <w:rsid w:val="00942799"/>
    <w:rsid w:val="00943576"/>
    <w:rsid w:val="00967834"/>
    <w:rsid w:val="00980F16"/>
    <w:rsid w:val="00982467"/>
    <w:rsid w:val="009868FD"/>
    <w:rsid w:val="009956A2"/>
    <w:rsid w:val="009C2B5C"/>
    <w:rsid w:val="009C326A"/>
    <w:rsid w:val="009D7043"/>
    <w:rsid w:val="009E3AB9"/>
    <w:rsid w:val="009F49C0"/>
    <w:rsid w:val="00A04CFC"/>
    <w:rsid w:val="00A827F2"/>
    <w:rsid w:val="00A85B76"/>
    <w:rsid w:val="00A9604F"/>
    <w:rsid w:val="00B3486E"/>
    <w:rsid w:val="00B6641F"/>
    <w:rsid w:val="00B72AB8"/>
    <w:rsid w:val="00B80E79"/>
    <w:rsid w:val="00B85919"/>
    <w:rsid w:val="00BD0E82"/>
    <w:rsid w:val="00C50DC1"/>
    <w:rsid w:val="00C51B32"/>
    <w:rsid w:val="00C60D5B"/>
    <w:rsid w:val="00C655AB"/>
    <w:rsid w:val="00C758BF"/>
    <w:rsid w:val="00C824C8"/>
    <w:rsid w:val="00CA5DF2"/>
    <w:rsid w:val="00CC323F"/>
    <w:rsid w:val="00CC54CE"/>
    <w:rsid w:val="00CC618C"/>
    <w:rsid w:val="00CF75FF"/>
    <w:rsid w:val="00D044B5"/>
    <w:rsid w:val="00D070CB"/>
    <w:rsid w:val="00D60338"/>
    <w:rsid w:val="00D722EA"/>
    <w:rsid w:val="00D7612D"/>
    <w:rsid w:val="00DB70B1"/>
    <w:rsid w:val="00DD6E0A"/>
    <w:rsid w:val="00DF142E"/>
    <w:rsid w:val="00E06663"/>
    <w:rsid w:val="00E10283"/>
    <w:rsid w:val="00E16F21"/>
    <w:rsid w:val="00E22CDD"/>
    <w:rsid w:val="00E647A1"/>
    <w:rsid w:val="00E7404C"/>
    <w:rsid w:val="00E81440"/>
    <w:rsid w:val="00E94A23"/>
    <w:rsid w:val="00E961A4"/>
    <w:rsid w:val="00EB538C"/>
    <w:rsid w:val="00EB6083"/>
    <w:rsid w:val="00ED4E80"/>
    <w:rsid w:val="00EF4E65"/>
    <w:rsid w:val="00EF52A7"/>
    <w:rsid w:val="00F12B86"/>
    <w:rsid w:val="00F2301B"/>
    <w:rsid w:val="00F312F7"/>
    <w:rsid w:val="00F45CD9"/>
    <w:rsid w:val="00F4690E"/>
    <w:rsid w:val="00F565FD"/>
    <w:rsid w:val="00F643BC"/>
    <w:rsid w:val="00F75ED0"/>
    <w:rsid w:val="00F7669C"/>
    <w:rsid w:val="00F97F7C"/>
    <w:rsid w:val="00FB4C88"/>
    <w:rsid w:val="00FB70DA"/>
    <w:rsid w:val="00FC1E42"/>
    <w:rsid w:val="00FD0EB9"/>
    <w:rsid w:val="00FD59B3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D1252C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538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B5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53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38C"/>
    <w:rPr>
      <w:b/>
      <w:bCs/>
      <w:lang w:eastAsia="en-US"/>
    </w:rPr>
  </w:style>
  <w:style w:type="paragraph" w:styleId="Poprawka">
    <w:name w:val="Revision"/>
    <w:hidden/>
    <w:uiPriority w:val="99"/>
    <w:semiHidden/>
    <w:rsid w:val="00FD0E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45FC-97DE-46F4-965D-34D446EF170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7FE0CE-0B12-489E-A544-61B8F756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</cp:keywords>
  <cp:lastModifiedBy>Rancewicz Joanna</cp:lastModifiedBy>
  <cp:revision>2</cp:revision>
  <cp:lastPrinted>2021-07-01T09:22:00Z</cp:lastPrinted>
  <dcterms:created xsi:type="dcterms:W3CDTF">2021-07-08T12:25:00Z</dcterms:created>
  <dcterms:modified xsi:type="dcterms:W3CDTF">2021-07-08T12:25:00Z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efd9a5f0-7c26-4ea6-8505-779a460c222a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